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17"/>
        </w:rPr>
      </w:pPr>
    </w:p>
    <w:p>
      <w:pPr>
        <w:spacing w:before="100"/>
        <w:ind w:left="1356" w:right="1357" w:firstLine="0"/>
        <w:jc w:val="center"/>
        <w:rPr>
          <w:b/>
          <w:sz w:val="32"/>
        </w:rPr>
      </w:pPr>
      <w:r>
        <w:rPr>
          <w:b/>
          <w:sz w:val="32"/>
        </w:rPr>
        <w:t>Addendum</w:t>
      </w:r>
      <w:r>
        <w:rPr>
          <w:b/>
          <w:spacing w:val="-8"/>
          <w:sz w:val="32"/>
        </w:rPr>
        <w:t> </w:t>
      </w:r>
      <w:r>
        <w:rPr>
          <w:b/>
          <w:sz w:val="32"/>
        </w:rPr>
        <w:t>to</w:t>
      </w:r>
      <w:r>
        <w:rPr>
          <w:b/>
          <w:spacing w:val="-9"/>
          <w:sz w:val="32"/>
        </w:rPr>
        <w:t> </w:t>
      </w:r>
      <w:r>
        <w:rPr>
          <w:b/>
          <w:sz w:val="32"/>
        </w:rPr>
        <w:t>General</w:t>
      </w:r>
      <w:r>
        <w:rPr>
          <w:b/>
          <w:spacing w:val="-7"/>
          <w:sz w:val="32"/>
        </w:rPr>
        <w:t> </w:t>
      </w:r>
      <w:r>
        <w:rPr>
          <w:b/>
          <w:sz w:val="32"/>
        </w:rPr>
        <w:t>Terms</w:t>
      </w:r>
      <w:r>
        <w:rPr>
          <w:b/>
          <w:spacing w:val="-11"/>
          <w:sz w:val="32"/>
        </w:rPr>
        <w:t> </w:t>
      </w:r>
      <w:r>
        <w:rPr>
          <w:b/>
          <w:sz w:val="32"/>
        </w:rPr>
        <w:t>and</w:t>
      </w:r>
      <w:r>
        <w:rPr>
          <w:b/>
          <w:spacing w:val="-11"/>
          <w:sz w:val="32"/>
        </w:rPr>
        <w:t> </w:t>
      </w:r>
      <w:r>
        <w:rPr>
          <w:b/>
          <w:spacing w:val="-2"/>
          <w:sz w:val="32"/>
        </w:rPr>
        <w:t>Conditions</w:t>
      </w:r>
    </w:p>
    <w:p>
      <w:pPr>
        <w:spacing w:line="360" w:lineRule="auto" w:before="186"/>
        <w:ind w:left="414" w:right="413" w:firstLine="2"/>
        <w:jc w:val="center"/>
        <w:rPr>
          <w:b/>
          <w:sz w:val="32"/>
        </w:rPr>
      </w:pPr>
      <w:r>
        <w:rPr>
          <w:b/>
          <w:sz w:val="32"/>
        </w:rPr>
        <w:t>for the Sale and Delivery of Organisation, Programming Services</w:t>
      </w:r>
      <w:r>
        <w:rPr>
          <w:b/>
          <w:spacing w:val="-7"/>
          <w:sz w:val="32"/>
        </w:rPr>
        <w:t> </w:t>
      </w:r>
      <w:r>
        <w:rPr>
          <w:b/>
          <w:sz w:val="32"/>
        </w:rPr>
        <w:t>and</w:t>
      </w:r>
      <w:r>
        <w:rPr>
          <w:b/>
          <w:spacing w:val="-6"/>
          <w:sz w:val="32"/>
        </w:rPr>
        <w:t> </w:t>
      </w:r>
      <w:r>
        <w:rPr>
          <w:b/>
          <w:sz w:val="32"/>
        </w:rPr>
        <w:t>Work</w:t>
      </w:r>
      <w:r>
        <w:rPr>
          <w:b/>
          <w:spacing w:val="-6"/>
          <w:sz w:val="32"/>
        </w:rPr>
        <w:t> </w:t>
      </w:r>
      <w:r>
        <w:rPr>
          <w:b/>
          <w:sz w:val="32"/>
        </w:rPr>
        <w:t>Usage</w:t>
      </w:r>
      <w:r>
        <w:rPr>
          <w:b/>
          <w:spacing w:val="-8"/>
          <w:sz w:val="32"/>
        </w:rPr>
        <w:t> </w:t>
      </w:r>
      <w:r>
        <w:rPr>
          <w:b/>
          <w:sz w:val="32"/>
        </w:rPr>
        <w:t>Licences</w:t>
      </w:r>
      <w:r>
        <w:rPr>
          <w:b/>
          <w:spacing w:val="-5"/>
          <w:sz w:val="32"/>
        </w:rPr>
        <w:t> </w:t>
      </w:r>
      <w:r>
        <w:rPr>
          <w:b/>
          <w:sz w:val="32"/>
        </w:rPr>
        <w:t>for</w:t>
      </w:r>
      <w:r>
        <w:rPr>
          <w:b/>
          <w:spacing w:val="-6"/>
          <w:sz w:val="32"/>
        </w:rPr>
        <w:t> </w:t>
      </w:r>
      <w:r>
        <w:rPr>
          <w:b/>
          <w:sz w:val="32"/>
        </w:rPr>
        <w:t>Software</w:t>
      </w:r>
      <w:r>
        <w:rPr>
          <w:b/>
          <w:spacing w:val="-4"/>
          <w:sz w:val="32"/>
        </w:rPr>
        <w:t> </w:t>
      </w:r>
      <w:r>
        <w:rPr>
          <w:b/>
          <w:sz w:val="32"/>
        </w:rPr>
        <w:t>Products relating to Liability for Security Solutions (B2B)</w:t>
      </w:r>
    </w:p>
    <w:p>
      <w:pPr>
        <w:pStyle w:val="BodyText"/>
        <w:spacing w:before="1"/>
        <w:rPr>
          <w:b/>
          <w:sz w:val="32"/>
        </w:rPr>
      </w:pPr>
    </w:p>
    <w:p>
      <w:pPr>
        <w:spacing w:before="0"/>
        <w:ind w:left="1356" w:right="1356" w:firstLine="0"/>
        <w:jc w:val="center"/>
        <w:rPr>
          <w:b/>
          <w:sz w:val="32"/>
        </w:rPr>
      </w:pPr>
      <w:r>
        <w:rPr>
          <w:b/>
          <w:sz w:val="32"/>
        </w:rPr>
        <w:t>2024</w:t>
      </w:r>
      <w:r>
        <w:rPr>
          <w:b/>
          <w:spacing w:val="-9"/>
          <w:sz w:val="32"/>
        </w:rPr>
        <w:t> </w:t>
      </w:r>
      <w:r>
        <w:rPr>
          <w:b/>
          <w:spacing w:val="-2"/>
          <w:sz w:val="32"/>
        </w:rPr>
        <w:t>version</w:t>
      </w: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36"/>
        </w:rPr>
      </w:pPr>
    </w:p>
    <w:p>
      <w:pPr>
        <w:pStyle w:val="BodyText"/>
        <w:rPr>
          <w:b/>
          <w:sz w:val="52"/>
        </w:rPr>
      </w:pPr>
    </w:p>
    <w:p>
      <w:pPr>
        <w:spacing w:line="276" w:lineRule="auto" w:before="1"/>
        <w:ind w:left="1356" w:right="1354" w:firstLine="0"/>
        <w:jc w:val="center"/>
        <w:rPr>
          <w:b/>
          <w:sz w:val="28"/>
        </w:rPr>
      </w:pPr>
      <w:r>
        <w:rPr>
          <w:b/>
          <w:sz w:val="28"/>
        </w:rPr>
        <w:t>Trade</w:t>
      </w:r>
      <w:r>
        <w:rPr>
          <w:b/>
          <w:spacing w:val="-9"/>
          <w:sz w:val="28"/>
        </w:rPr>
        <w:t> </w:t>
      </w:r>
      <w:r>
        <w:rPr>
          <w:b/>
          <w:sz w:val="28"/>
        </w:rPr>
        <w:t>Association</w:t>
      </w:r>
      <w:r>
        <w:rPr>
          <w:b/>
          <w:spacing w:val="-10"/>
          <w:sz w:val="28"/>
        </w:rPr>
        <w:t> </w:t>
      </w:r>
      <w:r>
        <w:rPr>
          <w:b/>
          <w:sz w:val="28"/>
        </w:rPr>
        <w:t>of</w:t>
      </w:r>
      <w:r>
        <w:rPr>
          <w:b/>
          <w:spacing w:val="-10"/>
          <w:sz w:val="28"/>
        </w:rPr>
        <w:t> </w:t>
      </w:r>
      <w:r>
        <w:rPr>
          <w:b/>
          <w:sz w:val="28"/>
        </w:rPr>
        <w:t>Management</w:t>
      </w:r>
      <w:r>
        <w:rPr>
          <w:b/>
          <w:spacing w:val="-10"/>
          <w:sz w:val="28"/>
        </w:rPr>
        <w:t> </w:t>
      </w:r>
      <w:r>
        <w:rPr>
          <w:b/>
          <w:sz w:val="28"/>
        </w:rPr>
        <w:t>Consultants, Accounting and Information Technology</w:t>
      </w:r>
    </w:p>
    <w:p>
      <w:pPr>
        <w:pStyle w:val="BodyText"/>
        <w:spacing w:before="3"/>
        <w:rPr>
          <w:b/>
          <w:sz w:val="32"/>
        </w:rPr>
      </w:pPr>
    </w:p>
    <w:p>
      <w:pPr>
        <w:spacing w:before="0"/>
        <w:ind w:left="1356" w:right="1356" w:firstLine="0"/>
        <w:jc w:val="center"/>
        <w:rPr>
          <w:sz w:val="28"/>
        </w:rPr>
      </w:pPr>
      <w:r>
        <w:rPr>
          <w:sz w:val="28"/>
        </w:rPr>
        <w:t>Wiedner</w:t>
      </w:r>
      <w:r>
        <w:rPr>
          <w:spacing w:val="-12"/>
          <w:sz w:val="28"/>
        </w:rPr>
        <w:t> </w:t>
      </w:r>
      <w:r>
        <w:rPr>
          <w:sz w:val="28"/>
        </w:rPr>
        <w:t>Hauptstraße</w:t>
      </w:r>
      <w:r>
        <w:rPr>
          <w:spacing w:val="-11"/>
          <w:sz w:val="28"/>
        </w:rPr>
        <w:t> </w:t>
      </w:r>
      <w:r>
        <w:rPr>
          <w:spacing w:val="-5"/>
          <w:sz w:val="28"/>
        </w:rPr>
        <w:t>63</w:t>
      </w:r>
    </w:p>
    <w:p>
      <w:pPr>
        <w:spacing w:before="48"/>
        <w:ind w:left="1356" w:right="1356" w:firstLine="0"/>
        <w:jc w:val="center"/>
        <w:rPr>
          <w:sz w:val="28"/>
        </w:rPr>
      </w:pPr>
      <w:r>
        <w:rPr>
          <w:sz w:val="28"/>
        </w:rPr>
        <w:t>A-1045</w:t>
      </w:r>
      <w:r>
        <w:rPr>
          <w:spacing w:val="-8"/>
          <w:sz w:val="28"/>
        </w:rPr>
        <w:t> </w:t>
      </w:r>
      <w:r>
        <w:rPr>
          <w:spacing w:val="-2"/>
          <w:sz w:val="28"/>
        </w:rPr>
        <w:t>Vienna</w:t>
      </w:r>
    </w:p>
    <w:p>
      <w:pPr>
        <w:spacing w:before="49"/>
        <w:ind w:left="1356" w:right="1356" w:firstLine="0"/>
        <w:jc w:val="center"/>
        <w:rPr>
          <w:sz w:val="28"/>
        </w:rPr>
      </w:pPr>
      <w:r>
        <w:rPr>
          <w:sz w:val="28"/>
        </w:rPr>
        <w:t>T:</w:t>
      </w:r>
      <w:r>
        <w:rPr>
          <w:spacing w:val="-13"/>
          <w:sz w:val="28"/>
        </w:rPr>
        <w:t> </w:t>
      </w:r>
      <w:r>
        <w:rPr>
          <w:sz w:val="28"/>
        </w:rPr>
        <w:t>+43-(0)-590900-</w:t>
      </w:r>
      <w:r>
        <w:rPr>
          <w:spacing w:val="-4"/>
          <w:sz w:val="28"/>
        </w:rPr>
        <w:t>4908</w:t>
      </w:r>
    </w:p>
    <w:p>
      <w:pPr>
        <w:spacing w:line="276" w:lineRule="auto" w:before="49"/>
        <w:ind w:left="3371" w:right="3365" w:firstLine="0"/>
        <w:jc w:val="center"/>
        <w:rPr>
          <w:sz w:val="28"/>
        </w:rPr>
      </w:pPr>
      <w:r>
        <w:rPr>
          <w:sz w:val="28"/>
        </w:rPr>
        <w:t>E-mail:</w:t>
      </w:r>
      <w:r>
        <w:rPr>
          <w:spacing w:val="-22"/>
          <w:sz w:val="28"/>
        </w:rPr>
        <w:t> </w:t>
      </w:r>
      <w:hyperlink r:id="rId6">
        <w:r>
          <w:rPr>
            <w:sz w:val="28"/>
          </w:rPr>
          <w:t>ubit@wko.at</w:t>
        </w:r>
      </w:hyperlink>
      <w:r>
        <w:rPr>
          <w:sz w:val="28"/>
        </w:rPr>
        <w:t> </w:t>
      </w:r>
      <w:hyperlink r:id="rId7">
        <w:r>
          <w:rPr>
            <w:spacing w:val="-2"/>
            <w:sz w:val="28"/>
          </w:rPr>
          <w:t>http://www.ubit.at</w:t>
        </w:r>
      </w:hyperlink>
    </w:p>
    <w:p>
      <w:pPr>
        <w:spacing w:after="0" w:line="276" w:lineRule="auto"/>
        <w:jc w:val="center"/>
        <w:rPr>
          <w:sz w:val="28"/>
        </w:rPr>
        <w:sectPr>
          <w:headerReference w:type="default" r:id="rId5"/>
          <w:type w:val="continuous"/>
          <w:pgSz w:w="11900" w:h="16850"/>
          <w:pgMar w:header="452" w:footer="0" w:top="1320" w:bottom="280" w:left="1300" w:right="1300"/>
          <w:pgNumType w:start="1"/>
        </w:sectPr>
      </w:pPr>
    </w:p>
    <w:p>
      <w:pPr>
        <w:pStyle w:val="Heading1"/>
        <w:spacing w:before="117"/>
      </w:pPr>
      <w:r>
        <w:rPr/>
        <w:t>Supplementary</w:t>
      </w:r>
      <w:r>
        <w:rPr>
          <w:spacing w:val="-6"/>
        </w:rPr>
        <w:t> </w:t>
      </w:r>
      <w:r>
        <w:rPr/>
        <w:t>liability</w:t>
      </w:r>
      <w:r>
        <w:rPr>
          <w:spacing w:val="-8"/>
        </w:rPr>
        <w:t> </w:t>
      </w:r>
      <w:r>
        <w:rPr/>
        <w:t>regulations</w:t>
      </w:r>
      <w:r>
        <w:rPr>
          <w:spacing w:val="-8"/>
        </w:rPr>
        <w:t> </w:t>
      </w:r>
      <w:r>
        <w:rPr/>
        <w:t>for</w:t>
      </w:r>
      <w:r>
        <w:rPr>
          <w:spacing w:val="-9"/>
        </w:rPr>
        <w:t> </w:t>
      </w:r>
      <w:r>
        <w:rPr/>
        <w:t>security</w:t>
      </w:r>
      <w:r>
        <w:rPr>
          <w:spacing w:val="-6"/>
        </w:rPr>
        <w:t> </w:t>
      </w:r>
      <w:r>
        <w:rPr/>
        <w:t>solutions</w:t>
      </w:r>
      <w:r>
        <w:rPr>
          <w:spacing w:val="-6"/>
        </w:rPr>
        <w:t> </w:t>
      </w:r>
      <w:r>
        <w:rPr/>
        <w:t>of</w:t>
      </w:r>
      <w:r>
        <w:rPr>
          <w:spacing w:val="-9"/>
        </w:rPr>
        <w:t> </w:t>
      </w:r>
      <w:r>
        <w:rPr/>
        <w:t>any</w:t>
      </w:r>
      <w:r>
        <w:rPr>
          <w:spacing w:val="-6"/>
        </w:rPr>
        <w:t> </w:t>
      </w:r>
      <w:r>
        <w:rPr>
          <w:spacing w:val="-4"/>
        </w:rPr>
        <w:t>kind</w:t>
      </w:r>
    </w:p>
    <w:p>
      <w:pPr>
        <w:pStyle w:val="BodyText"/>
        <w:spacing w:before="1"/>
        <w:rPr>
          <w:b/>
          <w:sz w:val="24"/>
        </w:rPr>
      </w:pPr>
    </w:p>
    <w:p>
      <w:pPr>
        <w:pStyle w:val="ListParagraph"/>
        <w:numPr>
          <w:ilvl w:val="0"/>
          <w:numId w:val="1"/>
        </w:numPr>
        <w:tabs>
          <w:tab w:pos="836" w:val="left" w:leader="none"/>
        </w:tabs>
        <w:spacing w:line="276" w:lineRule="auto" w:before="0" w:after="0"/>
        <w:ind w:left="836" w:right="113" w:hanging="360"/>
        <w:jc w:val="left"/>
        <w:rPr>
          <w:sz w:val="22"/>
        </w:rPr>
      </w:pPr>
      <w:r>
        <w:rPr>
          <w:sz w:val="22"/>
        </w:rPr>
        <w:t>Electronic</w:t>
      </w:r>
      <w:r>
        <w:rPr>
          <w:spacing w:val="-1"/>
          <w:sz w:val="22"/>
        </w:rPr>
        <w:t> </w:t>
      </w:r>
      <w:r>
        <w:rPr>
          <w:sz w:val="22"/>
        </w:rPr>
        <w:t>security</w:t>
      </w:r>
      <w:r>
        <w:rPr>
          <w:spacing w:val="-5"/>
          <w:sz w:val="22"/>
        </w:rPr>
        <w:t> </w:t>
      </w:r>
      <w:r>
        <w:rPr>
          <w:sz w:val="22"/>
        </w:rPr>
        <w:t>solutions</w:t>
      </w:r>
      <w:r>
        <w:rPr>
          <w:spacing w:val="-4"/>
          <w:sz w:val="22"/>
        </w:rPr>
        <w:t> </w:t>
      </w:r>
      <w:r>
        <w:rPr>
          <w:sz w:val="22"/>
        </w:rPr>
        <w:t>are</w:t>
      </w:r>
      <w:r>
        <w:rPr>
          <w:spacing w:val="-2"/>
          <w:sz w:val="22"/>
        </w:rPr>
        <w:t> </w:t>
      </w:r>
      <w:r>
        <w:rPr>
          <w:sz w:val="22"/>
        </w:rPr>
        <w:t>any</w:t>
      </w:r>
      <w:r>
        <w:rPr>
          <w:spacing w:val="-3"/>
          <w:sz w:val="22"/>
        </w:rPr>
        <w:t> </w:t>
      </w:r>
      <w:r>
        <w:rPr>
          <w:sz w:val="22"/>
        </w:rPr>
        <w:t>electronic</w:t>
      </w:r>
      <w:r>
        <w:rPr>
          <w:spacing w:val="-4"/>
          <w:sz w:val="22"/>
        </w:rPr>
        <w:t> </w:t>
      </w:r>
      <w:r>
        <w:rPr>
          <w:sz w:val="22"/>
        </w:rPr>
        <w:t>systems</w:t>
      </w:r>
      <w:r>
        <w:rPr>
          <w:spacing w:val="-3"/>
          <w:sz w:val="22"/>
        </w:rPr>
        <w:t> </w:t>
      </w:r>
      <w:r>
        <w:rPr>
          <w:sz w:val="22"/>
        </w:rPr>
        <w:t>that</w:t>
      </w:r>
      <w:r>
        <w:rPr>
          <w:spacing w:val="-1"/>
          <w:sz w:val="22"/>
        </w:rPr>
        <w:t> </w:t>
      </w:r>
      <w:r>
        <w:rPr>
          <w:sz w:val="22"/>
        </w:rPr>
        <w:t>are</w:t>
      </w:r>
      <w:r>
        <w:rPr>
          <w:spacing w:val="-4"/>
          <w:sz w:val="22"/>
        </w:rPr>
        <w:t> </w:t>
      </w:r>
      <w:r>
        <w:rPr>
          <w:sz w:val="22"/>
        </w:rPr>
        <w:t>intended</w:t>
      </w:r>
      <w:r>
        <w:rPr>
          <w:spacing w:val="-5"/>
          <w:sz w:val="22"/>
        </w:rPr>
        <w:t> </w:t>
      </w:r>
      <w:r>
        <w:rPr>
          <w:sz w:val="22"/>
        </w:rPr>
        <w:t>to</w:t>
      </w:r>
      <w:r>
        <w:rPr>
          <w:spacing w:val="-4"/>
          <w:sz w:val="22"/>
        </w:rPr>
        <w:t> </w:t>
      </w:r>
      <w:r>
        <w:rPr>
          <w:sz w:val="22"/>
        </w:rPr>
        <w:t>protect persons and/or property (e.g. properties and paths; buildings and structures; operating facilities and machinery; vehicles, etc.) against undesirable effects, use and/or commissioning (destruction, injury, removal, unauthorised commissioning, etc.), regardless of whether this is caused by conscious or unconscious behaviour, coincidence, natural hazards, etc., e.g. security solutions such as alarm and video surveillance systems, electronic access controls, water, fire and/or smoke detectors, etc. The person and/or object intentionally detected by the security solution is subsequently referred to as the security object. The other persons</w:t>
      </w:r>
      <w:r>
        <w:rPr>
          <w:spacing w:val="40"/>
          <w:sz w:val="22"/>
        </w:rPr>
        <w:t> </w:t>
      </w:r>
      <w:r>
        <w:rPr>
          <w:sz w:val="22"/>
        </w:rPr>
        <w:t>and/or objects located in or on the security object, to which the security purpose also extends, are the security objects.</w:t>
      </w:r>
    </w:p>
    <w:p>
      <w:pPr>
        <w:pStyle w:val="BodyText"/>
        <w:spacing w:before="2"/>
        <w:rPr>
          <w:sz w:val="24"/>
        </w:rPr>
      </w:pPr>
    </w:p>
    <w:p>
      <w:pPr>
        <w:pStyle w:val="ListParagraph"/>
        <w:numPr>
          <w:ilvl w:val="0"/>
          <w:numId w:val="1"/>
        </w:numPr>
        <w:tabs>
          <w:tab w:pos="836" w:val="left" w:leader="none"/>
        </w:tabs>
        <w:spacing w:line="276" w:lineRule="auto" w:before="0" w:after="0"/>
        <w:ind w:left="836" w:right="118" w:hanging="360"/>
        <w:jc w:val="left"/>
        <w:rPr>
          <w:sz w:val="22"/>
        </w:rPr>
      </w:pPr>
      <w:r>
        <w:rPr>
          <w:sz w:val="22"/>
        </w:rPr>
        <w:t>The customer is obliged to indicate in writing the material and/or non-material value of the security object including the security items. If this is not done, a total value</w:t>
      </w:r>
      <w:r>
        <w:rPr>
          <w:spacing w:val="-3"/>
          <w:sz w:val="22"/>
        </w:rPr>
        <w:t> </w:t>
      </w:r>
      <w:r>
        <w:rPr>
          <w:sz w:val="22"/>
        </w:rPr>
        <w:t>of</w:t>
      </w:r>
      <w:r>
        <w:rPr>
          <w:spacing w:val="-3"/>
          <w:sz w:val="22"/>
        </w:rPr>
        <w:t> </w:t>
      </w:r>
      <w:r>
        <w:rPr>
          <w:sz w:val="22"/>
        </w:rPr>
        <w:t>the</w:t>
      </w:r>
      <w:r>
        <w:rPr>
          <w:spacing w:val="-3"/>
          <w:sz w:val="22"/>
        </w:rPr>
        <w:t> </w:t>
      </w:r>
      <w:r>
        <w:rPr>
          <w:sz w:val="22"/>
        </w:rPr>
        <w:t>security</w:t>
      </w:r>
      <w:r>
        <w:rPr>
          <w:spacing w:val="-2"/>
          <w:sz w:val="22"/>
        </w:rPr>
        <w:t> </w:t>
      </w:r>
      <w:r>
        <w:rPr>
          <w:sz w:val="22"/>
        </w:rPr>
        <w:t>object</w:t>
      </w:r>
      <w:r>
        <w:rPr>
          <w:spacing w:val="-3"/>
          <w:sz w:val="22"/>
        </w:rPr>
        <w:t> </w:t>
      </w:r>
      <w:r>
        <w:rPr>
          <w:sz w:val="22"/>
        </w:rPr>
        <w:t>including</w:t>
      </w:r>
      <w:r>
        <w:rPr>
          <w:spacing w:val="-5"/>
          <w:sz w:val="22"/>
        </w:rPr>
        <w:t> </w:t>
      </w:r>
      <w:r>
        <w:rPr>
          <w:sz w:val="22"/>
        </w:rPr>
        <w:t>the</w:t>
      </w:r>
      <w:r>
        <w:rPr>
          <w:spacing w:val="-3"/>
          <w:sz w:val="22"/>
        </w:rPr>
        <w:t> </w:t>
      </w:r>
      <w:r>
        <w:rPr>
          <w:sz w:val="22"/>
        </w:rPr>
        <w:t>security</w:t>
      </w:r>
      <w:r>
        <w:rPr>
          <w:spacing w:val="-3"/>
          <w:sz w:val="22"/>
        </w:rPr>
        <w:t> </w:t>
      </w:r>
      <w:r>
        <w:rPr>
          <w:sz w:val="22"/>
        </w:rPr>
        <w:t>items</w:t>
      </w:r>
      <w:r>
        <w:rPr>
          <w:spacing w:val="-3"/>
          <w:sz w:val="22"/>
        </w:rPr>
        <w:t> </w:t>
      </w:r>
      <w:r>
        <w:rPr>
          <w:sz w:val="22"/>
        </w:rPr>
        <w:t>of</w:t>
      </w:r>
      <w:r>
        <w:rPr>
          <w:spacing w:val="-3"/>
          <w:sz w:val="22"/>
        </w:rPr>
        <w:t> </w:t>
      </w:r>
      <w:r>
        <w:rPr>
          <w:sz w:val="22"/>
        </w:rPr>
        <w:t>€</w:t>
      </w:r>
      <w:r>
        <w:rPr>
          <w:spacing w:val="-3"/>
          <w:sz w:val="22"/>
        </w:rPr>
        <w:t> </w:t>
      </w:r>
      <w:r>
        <w:rPr>
          <w:sz w:val="22"/>
        </w:rPr>
        <w:t>5,000</w:t>
      </w:r>
      <w:r>
        <w:rPr>
          <w:spacing w:val="-3"/>
          <w:sz w:val="22"/>
        </w:rPr>
        <w:t> </w:t>
      </w:r>
      <w:r>
        <w:rPr>
          <w:sz w:val="22"/>
        </w:rPr>
        <w:t>shall</w:t>
      </w:r>
      <w:r>
        <w:rPr>
          <w:spacing w:val="-5"/>
          <w:sz w:val="22"/>
        </w:rPr>
        <w:t> </w:t>
      </w:r>
      <w:r>
        <w:rPr>
          <w:sz w:val="22"/>
        </w:rPr>
        <w:t>be</w:t>
      </w:r>
      <w:r>
        <w:rPr>
          <w:spacing w:val="-3"/>
          <w:sz w:val="22"/>
        </w:rPr>
        <w:t> </w:t>
      </w:r>
      <w:r>
        <w:rPr>
          <w:sz w:val="22"/>
        </w:rPr>
        <w:t>assumed and any liability shall be limited to this value. In</w:t>
      </w:r>
      <w:r>
        <w:rPr>
          <w:spacing w:val="-2"/>
          <w:sz w:val="22"/>
        </w:rPr>
        <w:t> </w:t>
      </w:r>
      <w:r>
        <w:rPr>
          <w:sz w:val="22"/>
        </w:rPr>
        <w:t>any case, the Contractor's liability shall be limited to the maximum liability amount of any liability insurance taken </w:t>
      </w:r>
      <w:r>
        <w:rPr>
          <w:spacing w:val="-4"/>
          <w:sz w:val="22"/>
        </w:rPr>
        <w:t>out.</w:t>
      </w:r>
    </w:p>
    <w:p>
      <w:pPr>
        <w:pStyle w:val="BodyText"/>
        <w:spacing w:before="1"/>
        <w:rPr>
          <w:sz w:val="24"/>
        </w:rPr>
      </w:pPr>
    </w:p>
    <w:p>
      <w:pPr>
        <w:pStyle w:val="ListParagraph"/>
        <w:numPr>
          <w:ilvl w:val="0"/>
          <w:numId w:val="1"/>
        </w:numPr>
        <w:tabs>
          <w:tab w:pos="836" w:val="left" w:leader="none"/>
        </w:tabs>
        <w:spacing w:line="276" w:lineRule="auto" w:before="0" w:after="0"/>
        <w:ind w:left="836" w:right="223" w:hanging="360"/>
        <w:jc w:val="left"/>
        <w:rPr>
          <w:sz w:val="22"/>
        </w:rPr>
      </w:pPr>
      <w:r>
        <w:rPr>
          <w:sz w:val="22"/>
        </w:rPr>
        <w:t>If the installation and/or use of the security solution is dependent on the consent/authorisation</w:t>
      </w:r>
      <w:r>
        <w:rPr>
          <w:spacing w:val="-3"/>
          <w:sz w:val="22"/>
        </w:rPr>
        <w:t> </w:t>
      </w:r>
      <w:r>
        <w:rPr>
          <w:sz w:val="22"/>
        </w:rPr>
        <w:t>of</w:t>
      </w:r>
      <w:r>
        <w:rPr>
          <w:spacing w:val="-6"/>
          <w:sz w:val="22"/>
        </w:rPr>
        <w:t> </w:t>
      </w:r>
      <w:r>
        <w:rPr>
          <w:sz w:val="22"/>
        </w:rPr>
        <w:t>third</w:t>
      </w:r>
      <w:r>
        <w:rPr>
          <w:spacing w:val="-3"/>
          <w:sz w:val="22"/>
        </w:rPr>
        <w:t> </w:t>
      </w:r>
      <w:r>
        <w:rPr>
          <w:sz w:val="22"/>
        </w:rPr>
        <w:t>parties</w:t>
      </w:r>
      <w:r>
        <w:rPr>
          <w:spacing w:val="-6"/>
          <w:sz w:val="22"/>
        </w:rPr>
        <w:t> </w:t>
      </w:r>
      <w:r>
        <w:rPr>
          <w:sz w:val="22"/>
        </w:rPr>
        <w:t>(e.g.</w:t>
      </w:r>
      <w:r>
        <w:rPr>
          <w:spacing w:val="-5"/>
          <w:sz w:val="22"/>
        </w:rPr>
        <w:t> </w:t>
      </w:r>
      <w:r>
        <w:rPr>
          <w:sz w:val="22"/>
        </w:rPr>
        <w:t>company</w:t>
      </w:r>
      <w:r>
        <w:rPr>
          <w:spacing w:val="-5"/>
          <w:sz w:val="22"/>
        </w:rPr>
        <w:t> </w:t>
      </w:r>
      <w:r>
        <w:rPr>
          <w:sz w:val="22"/>
        </w:rPr>
        <w:t>agreements,</w:t>
      </w:r>
      <w:r>
        <w:rPr>
          <w:spacing w:val="-3"/>
          <w:sz w:val="22"/>
        </w:rPr>
        <w:t> </w:t>
      </w:r>
      <w:r>
        <w:rPr>
          <w:sz w:val="22"/>
        </w:rPr>
        <w:t>approvals,</w:t>
      </w:r>
      <w:r>
        <w:rPr>
          <w:spacing w:val="-3"/>
          <w:sz w:val="22"/>
        </w:rPr>
        <w:t> </w:t>
      </w:r>
      <w:r>
        <w:rPr>
          <w:sz w:val="22"/>
        </w:rPr>
        <w:t>etc.), the customer must obtain these itself. The same shall apply to any official notifications and/or authorisations, unless the Contractor has been expressly commissioned to handle them.</w:t>
      </w:r>
    </w:p>
    <w:p>
      <w:pPr>
        <w:pStyle w:val="BodyText"/>
        <w:spacing w:before="2"/>
        <w:rPr>
          <w:sz w:val="24"/>
        </w:rPr>
      </w:pPr>
    </w:p>
    <w:p>
      <w:pPr>
        <w:pStyle w:val="ListParagraph"/>
        <w:numPr>
          <w:ilvl w:val="0"/>
          <w:numId w:val="1"/>
        </w:numPr>
        <w:tabs>
          <w:tab w:pos="836" w:val="left" w:leader="none"/>
        </w:tabs>
        <w:spacing w:line="276" w:lineRule="auto" w:before="1" w:after="0"/>
        <w:ind w:left="836" w:right="187" w:hanging="360"/>
        <w:jc w:val="left"/>
        <w:rPr>
          <w:sz w:val="22"/>
        </w:rPr>
      </w:pPr>
      <w:r>
        <w:rPr>
          <w:sz w:val="22"/>
        </w:rPr>
        <w:t>The security solution only offers those functionalities that result from the existing documents (e.g. product description, technical data sheet, tender text, operating instructions,</w:t>
      </w:r>
      <w:r>
        <w:rPr>
          <w:spacing w:val="-2"/>
          <w:sz w:val="22"/>
        </w:rPr>
        <w:t> </w:t>
      </w:r>
      <w:r>
        <w:rPr>
          <w:sz w:val="22"/>
        </w:rPr>
        <w:t>etc.)</w:t>
      </w:r>
      <w:r>
        <w:rPr>
          <w:spacing w:val="-1"/>
          <w:sz w:val="22"/>
        </w:rPr>
        <w:t> </w:t>
      </w:r>
      <w:r>
        <w:rPr>
          <w:sz w:val="22"/>
        </w:rPr>
        <w:t>and</w:t>
      </w:r>
      <w:r>
        <w:rPr>
          <w:spacing w:val="-6"/>
          <w:sz w:val="22"/>
        </w:rPr>
        <w:t> </w:t>
      </w:r>
      <w:r>
        <w:rPr>
          <w:sz w:val="22"/>
        </w:rPr>
        <w:t>the</w:t>
      </w:r>
      <w:r>
        <w:rPr>
          <w:spacing w:val="-3"/>
          <w:sz w:val="22"/>
        </w:rPr>
        <w:t> </w:t>
      </w:r>
      <w:r>
        <w:rPr>
          <w:sz w:val="22"/>
        </w:rPr>
        <w:t>other</w:t>
      </w:r>
      <w:r>
        <w:rPr>
          <w:spacing w:val="-4"/>
          <w:sz w:val="22"/>
        </w:rPr>
        <w:t> </w:t>
      </w:r>
      <w:r>
        <w:rPr>
          <w:sz w:val="22"/>
        </w:rPr>
        <w:t>written</w:t>
      </w:r>
      <w:r>
        <w:rPr>
          <w:spacing w:val="-3"/>
          <w:sz w:val="22"/>
        </w:rPr>
        <w:t> </w:t>
      </w:r>
      <w:r>
        <w:rPr>
          <w:sz w:val="22"/>
        </w:rPr>
        <w:t>information</w:t>
      </w:r>
      <w:r>
        <w:rPr>
          <w:spacing w:val="-3"/>
          <w:sz w:val="22"/>
        </w:rPr>
        <w:t> </w:t>
      </w:r>
      <w:r>
        <w:rPr>
          <w:sz w:val="22"/>
        </w:rPr>
        <w:t>provided</w:t>
      </w:r>
      <w:r>
        <w:rPr>
          <w:spacing w:val="-3"/>
          <w:sz w:val="22"/>
        </w:rPr>
        <w:t> </w:t>
      </w:r>
      <w:r>
        <w:rPr>
          <w:sz w:val="22"/>
        </w:rPr>
        <w:t>for</w:t>
      </w:r>
      <w:r>
        <w:rPr>
          <w:spacing w:val="-4"/>
          <w:sz w:val="22"/>
        </w:rPr>
        <w:t> </w:t>
      </w:r>
      <w:r>
        <w:rPr>
          <w:sz w:val="22"/>
        </w:rPr>
        <w:t>this</w:t>
      </w:r>
      <w:r>
        <w:rPr>
          <w:spacing w:val="-3"/>
          <w:sz w:val="22"/>
        </w:rPr>
        <w:t> </w:t>
      </w:r>
      <w:r>
        <w:rPr>
          <w:sz w:val="22"/>
        </w:rPr>
        <w:t>purpose.</w:t>
      </w:r>
      <w:r>
        <w:rPr>
          <w:spacing w:val="-2"/>
          <w:sz w:val="22"/>
        </w:rPr>
        <w:t> </w:t>
      </w:r>
      <w:r>
        <w:rPr>
          <w:sz w:val="22"/>
        </w:rPr>
        <w:t>The Contractor shall not be liable for their correctness or completeness unless the documents or information mentioned originate from the Contractor itself.</w:t>
      </w:r>
    </w:p>
    <w:p>
      <w:pPr>
        <w:pStyle w:val="BodyText"/>
        <w:spacing w:before="11"/>
        <w:rPr>
          <w:sz w:val="23"/>
        </w:rPr>
      </w:pPr>
    </w:p>
    <w:p>
      <w:pPr>
        <w:pStyle w:val="ListParagraph"/>
        <w:numPr>
          <w:ilvl w:val="0"/>
          <w:numId w:val="1"/>
        </w:numPr>
        <w:tabs>
          <w:tab w:pos="836" w:val="left" w:leader="none"/>
        </w:tabs>
        <w:spacing w:line="278" w:lineRule="auto" w:before="0" w:after="0"/>
        <w:ind w:left="836" w:right="253" w:hanging="360"/>
        <w:jc w:val="left"/>
        <w:rPr>
          <w:sz w:val="22"/>
        </w:rPr>
      </w:pPr>
      <w:r>
        <w:rPr>
          <w:sz w:val="22"/>
        </w:rPr>
        <w:t>The</w:t>
      </w:r>
      <w:r>
        <w:rPr>
          <w:spacing w:val="-4"/>
          <w:sz w:val="22"/>
        </w:rPr>
        <w:t> </w:t>
      </w:r>
      <w:r>
        <w:rPr>
          <w:sz w:val="22"/>
        </w:rPr>
        <w:t>Contractor's</w:t>
      </w:r>
      <w:r>
        <w:rPr>
          <w:spacing w:val="-2"/>
          <w:sz w:val="22"/>
        </w:rPr>
        <w:t> </w:t>
      </w:r>
      <w:r>
        <w:rPr>
          <w:sz w:val="22"/>
        </w:rPr>
        <w:t>liability</w:t>
      </w:r>
      <w:r>
        <w:rPr>
          <w:spacing w:val="-5"/>
          <w:sz w:val="22"/>
        </w:rPr>
        <w:t> </w:t>
      </w:r>
      <w:r>
        <w:rPr>
          <w:sz w:val="22"/>
        </w:rPr>
        <w:t>shall</w:t>
      </w:r>
      <w:r>
        <w:rPr>
          <w:spacing w:val="-3"/>
          <w:sz w:val="22"/>
        </w:rPr>
        <w:t> </w:t>
      </w:r>
      <w:r>
        <w:rPr>
          <w:sz w:val="22"/>
        </w:rPr>
        <w:t>be</w:t>
      </w:r>
      <w:r>
        <w:rPr>
          <w:spacing w:val="-3"/>
          <w:sz w:val="22"/>
        </w:rPr>
        <w:t> </w:t>
      </w:r>
      <w:r>
        <w:rPr>
          <w:sz w:val="22"/>
        </w:rPr>
        <w:t>governed</w:t>
      </w:r>
      <w:r>
        <w:rPr>
          <w:spacing w:val="-3"/>
          <w:sz w:val="22"/>
        </w:rPr>
        <w:t> </w:t>
      </w:r>
      <w:r>
        <w:rPr>
          <w:sz w:val="22"/>
        </w:rPr>
        <w:t>by</w:t>
      </w:r>
      <w:r>
        <w:rPr>
          <w:spacing w:val="-5"/>
          <w:sz w:val="22"/>
        </w:rPr>
        <w:t> </w:t>
      </w:r>
      <w:r>
        <w:rPr>
          <w:sz w:val="22"/>
        </w:rPr>
        <w:t>the</w:t>
      </w:r>
      <w:r>
        <w:rPr>
          <w:spacing w:val="-3"/>
          <w:sz w:val="22"/>
        </w:rPr>
        <w:t> </w:t>
      </w:r>
      <w:r>
        <w:rPr>
          <w:sz w:val="22"/>
        </w:rPr>
        <w:t>provisions</w:t>
      </w:r>
      <w:r>
        <w:rPr>
          <w:spacing w:val="-4"/>
          <w:sz w:val="22"/>
        </w:rPr>
        <w:t> </w:t>
      </w:r>
      <w:r>
        <w:rPr>
          <w:sz w:val="22"/>
        </w:rPr>
        <w:t>set</w:t>
      </w:r>
      <w:r>
        <w:rPr>
          <w:spacing w:val="-1"/>
          <w:sz w:val="22"/>
        </w:rPr>
        <w:t> </w:t>
      </w:r>
      <w:r>
        <w:rPr>
          <w:sz w:val="22"/>
        </w:rPr>
        <w:t>out</w:t>
      </w:r>
      <w:r>
        <w:rPr>
          <w:spacing w:val="-4"/>
          <w:sz w:val="22"/>
        </w:rPr>
        <w:t> </w:t>
      </w:r>
      <w:r>
        <w:rPr>
          <w:sz w:val="22"/>
        </w:rPr>
        <w:t>in</w:t>
      </w:r>
      <w:r>
        <w:rPr>
          <w:spacing w:val="-5"/>
          <w:sz w:val="22"/>
        </w:rPr>
        <w:t> </w:t>
      </w:r>
      <w:r>
        <w:rPr>
          <w:sz w:val="22"/>
        </w:rPr>
        <w:t>the</w:t>
      </w:r>
      <w:r>
        <w:rPr>
          <w:spacing w:val="-3"/>
          <w:sz w:val="22"/>
        </w:rPr>
        <w:t> </w:t>
      </w:r>
      <w:r>
        <w:rPr>
          <w:sz w:val="22"/>
        </w:rPr>
        <w:t>General Terms and Conditions. The following shall apply in addition:</w:t>
      </w:r>
    </w:p>
    <w:p>
      <w:pPr>
        <w:pStyle w:val="BodyText"/>
        <w:spacing w:before="9"/>
        <w:rPr>
          <w:sz w:val="23"/>
        </w:rPr>
      </w:pPr>
    </w:p>
    <w:p>
      <w:pPr>
        <w:pStyle w:val="ListParagraph"/>
        <w:numPr>
          <w:ilvl w:val="1"/>
          <w:numId w:val="1"/>
        </w:numPr>
        <w:tabs>
          <w:tab w:pos="836" w:val="left" w:leader="none"/>
        </w:tabs>
        <w:spacing w:line="240" w:lineRule="auto" w:before="0" w:after="0"/>
        <w:ind w:left="836" w:right="0" w:hanging="360"/>
        <w:jc w:val="left"/>
        <w:rPr>
          <w:sz w:val="22"/>
        </w:rPr>
      </w:pPr>
      <w:r>
        <w:rPr>
          <w:sz w:val="22"/>
        </w:rPr>
        <w:t>The</w:t>
      </w:r>
      <w:r>
        <w:rPr>
          <w:spacing w:val="-7"/>
          <w:sz w:val="22"/>
        </w:rPr>
        <w:t> </w:t>
      </w:r>
      <w:r>
        <w:rPr>
          <w:sz w:val="22"/>
        </w:rPr>
        <w:t>Customer</w:t>
      </w:r>
      <w:r>
        <w:rPr>
          <w:spacing w:val="-2"/>
          <w:sz w:val="22"/>
        </w:rPr>
        <w:t> </w:t>
      </w:r>
      <w:r>
        <w:rPr>
          <w:sz w:val="22"/>
        </w:rPr>
        <w:t>shall</w:t>
      </w:r>
      <w:r>
        <w:rPr>
          <w:spacing w:val="-3"/>
          <w:sz w:val="22"/>
        </w:rPr>
        <w:t> </w:t>
      </w:r>
      <w:r>
        <w:rPr>
          <w:sz w:val="22"/>
        </w:rPr>
        <w:t>notify</w:t>
      </w:r>
      <w:r>
        <w:rPr>
          <w:spacing w:val="-3"/>
          <w:sz w:val="22"/>
        </w:rPr>
        <w:t> </w:t>
      </w:r>
      <w:r>
        <w:rPr>
          <w:sz w:val="22"/>
        </w:rPr>
        <w:t>the</w:t>
      </w:r>
      <w:r>
        <w:rPr>
          <w:spacing w:val="-4"/>
          <w:sz w:val="22"/>
        </w:rPr>
        <w:t> </w:t>
      </w:r>
      <w:r>
        <w:rPr>
          <w:sz w:val="22"/>
        </w:rPr>
        <w:t>Contractor</w:t>
      </w:r>
      <w:r>
        <w:rPr>
          <w:spacing w:val="-4"/>
          <w:sz w:val="22"/>
        </w:rPr>
        <w:t> </w:t>
      </w:r>
      <w:r>
        <w:rPr>
          <w:sz w:val="22"/>
        </w:rPr>
        <w:t>of</w:t>
      </w:r>
      <w:r>
        <w:rPr>
          <w:spacing w:val="-3"/>
          <w:sz w:val="22"/>
        </w:rPr>
        <w:t> </w:t>
      </w:r>
      <w:r>
        <w:rPr>
          <w:sz w:val="22"/>
        </w:rPr>
        <w:t>any</w:t>
      </w:r>
      <w:r>
        <w:rPr>
          <w:spacing w:val="-6"/>
          <w:sz w:val="22"/>
        </w:rPr>
        <w:t> </w:t>
      </w:r>
      <w:r>
        <w:rPr>
          <w:sz w:val="22"/>
        </w:rPr>
        <w:t>damage</w:t>
      </w:r>
      <w:r>
        <w:rPr>
          <w:spacing w:val="-4"/>
          <w:sz w:val="22"/>
        </w:rPr>
        <w:t> </w:t>
      </w:r>
      <w:r>
        <w:rPr>
          <w:sz w:val="22"/>
        </w:rPr>
        <w:t>occurring</w:t>
      </w:r>
      <w:r>
        <w:rPr>
          <w:spacing w:val="-3"/>
          <w:sz w:val="22"/>
        </w:rPr>
        <w:t> </w:t>
      </w:r>
      <w:r>
        <w:rPr>
          <w:sz w:val="22"/>
        </w:rPr>
        <w:t>no</w:t>
      </w:r>
      <w:r>
        <w:rPr>
          <w:spacing w:val="-4"/>
          <w:sz w:val="22"/>
        </w:rPr>
        <w:t> </w:t>
      </w:r>
      <w:r>
        <w:rPr>
          <w:sz w:val="22"/>
        </w:rPr>
        <w:t>later</w:t>
      </w:r>
      <w:r>
        <w:rPr>
          <w:spacing w:val="-2"/>
          <w:sz w:val="22"/>
        </w:rPr>
        <w:t> </w:t>
      </w:r>
      <w:r>
        <w:rPr>
          <w:sz w:val="22"/>
        </w:rPr>
        <w:t>than</w:t>
      </w:r>
      <w:r>
        <w:rPr>
          <w:spacing w:val="-3"/>
          <w:sz w:val="22"/>
        </w:rPr>
        <w:t> </w:t>
      </w:r>
      <w:r>
        <w:rPr>
          <w:spacing w:val="-5"/>
          <w:sz w:val="22"/>
        </w:rPr>
        <w:t>one</w:t>
      </w:r>
    </w:p>
    <w:p>
      <w:pPr>
        <w:pStyle w:val="BodyText"/>
        <w:spacing w:line="276" w:lineRule="auto" w:before="38"/>
        <w:ind w:left="836" w:right="170"/>
      </w:pPr>
      <w:r>
        <w:rPr/>
        <w:t>(1) month after becoming aware of it, failing which it shall forfeit all claims. The Contractor accepts no liability for damage caused by failure to carry out necessary or regular maintenance of the security solutions (unless the Contractor has been commissioned to carry out maintenance itself), improper use, disregard of operating</w:t>
      </w:r>
      <w:r>
        <w:rPr>
          <w:spacing w:val="-4"/>
        </w:rPr>
        <w:t> </w:t>
      </w:r>
      <w:r>
        <w:rPr/>
        <w:t>and/or</w:t>
      </w:r>
      <w:r>
        <w:rPr>
          <w:spacing w:val="-3"/>
        </w:rPr>
        <w:t> </w:t>
      </w:r>
      <w:r>
        <w:rPr/>
        <w:t>installation</w:t>
      </w:r>
      <w:r>
        <w:rPr>
          <w:spacing w:val="-4"/>
        </w:rPr>
        <w:t> </w:t>
      </w:r>
      <w:r>
        <w:rPr/>
        <w:t>instructions.</w:t>
      </w:r>
      <w:r>
        <w:rPr>
          <w:spacing w:val="-2"/>
        </w:rPr>
        <w:t> </w:t>
      </w:r>
      <w:r>
        <w:rPr/>
        <w:t>Furthermore,</w:t>
      </w:r>
      <w:r>
        <w:rPr>
          <w:spacing w:val="-5"/>
        </w:rPr>
        <w:t> </w:t>
      </w:r>
      <w:r>
        <w:rPr/>
        <w:t>the</w:t>
      </w:r>
      <w:r>
        <w:rPr>
          <w:spacing w:val="-4"/>
        </w:rPr>
        <w:t> </w:t>
      </w:r>
      <w:r>
        <w:rPr/>
        <w:t>Contractor</w:t>
      </w:r>
      <w:r>
        <w:rPr>
          <w:spacing w:val="-7"/>
        </w:rPr>
        <w:t> </w:t>
      </w:r>
      <w:r>
        <w:rPr/>
        <w:t>shall</w:t>
      </w:r>
      <w:r>
        <w:rPr>
          <w:spacing w:val="-4"/>
        </w:rPr>
        <w:t> </w:t>
      </w:r>
      <w:r>
        <w:rPr/>
        <w:t>not</w:t>
      </w:r>
      <w:r>
        <w:rPr>
          <w:spacing w:val="-2"/>
        </w:rPr>
        <w:t> </w:t>
      </w:r>
      <w:r>
        <w:rPr/>
        <w:t>be liable if the security solution fails to function due to active or passive external influence, whether by manipulation or by overcoming the security solution.</w:t>
      </w:r>
    </w:p>
    <w:p>
      <w:pPr>
        <w:pStyle w:val="ListParagraph"/>
        <w:numPr>
          <w:ilvl w:val="1"/>
          <w:numId w:val="1"/>
        </w:numPr>
        <w:tabs>
          <w:tab w:pos="836" w:val="left" w:leader="none"/>
        </w:tabs>
        <w:spacing w:line="276" w:lineRule="auto" w:before="0" w:after="0"/>
        <w:ind w:left="836" w:right="408" w:hanging="360"/>
        <w:jc w:val="left"/>
        <w:rPr>
          <w:sz w:val="22"/>
        </w:rPr>
      </w:pPr>
      <w:r>
        <w:rPr>
          <w:sz w:val="22"/>
        </w:rPr>
        <w:t>If changes have been made to the security solution by persons other than the Contractor</w:t>
      </w:r>
      <w:r>
        <w:rPr>
          <w:spacing w:val="-3"/>
          <w:sz w:val="22"/>
        </w:rPr>
        <w:t> </w:t>
      </w:r>
      <w:r>
        <w:rPr>
          <w:sz w:val="22"/>
        </w:rPr>
        <w:t>(including</w:t>
      </w:r>
      <w:r>
        <w:rPr>
          <w:spacing w:val="-4"/>
          <w:sz w:val="22"/>
        </w:rPr>
        <w:t> </w:t>
      </w:r>
      <w:r>
        <w:rPr>
          <w:sz w:val="22"/>
        </w:rPr>
        <w:t>third</w:t>
      </w:r>
      <w:r>
        <w:rPr>
          <w:spacing w:val="-2"/>
          <w:sz w:val="22"/>
        </w:rPr>
        <w:t> </w:t>
      </w:r>
      <w:r>
        <w:rPr>
          <w:sz w:val="22"/>
        </w:rPr>
        <w:t>parties</w:t>
      </w:r>
      <w:r>
        <w:rPr>
          <w:spacing w:val="-4"/>
          <w:sz w:val="22"/>
        </w:rPr>
        <w:t> </w:t>
      </w:r>
      <w:r>
        <w:rPr>
          <w:sz w:val="22"/>
        </w:rPr>
        <w:t>called</w:t>
      </w:r>
      <w:r>
        <w:rPr>
          <w:spacing w:val="-2"/>
          <w:sz w:val="22"/>
        </w:rPr>
        <w:t> </w:t>
      </w:r>
      <w:r>
        <w:rPr>
          <w:sz w:val="22"/>
        </w:rPr>
        <w:t>in</w:t>
      </w:r>
      <w:r>
        <w:rPr>
          <w:spacing w:val="-3"/>
          <w:sz w:val="22"/>
        </w:rPr>
        <w:t> </w:t>
      </w:r>
      <w:r>
        <w:rPr>
          <w:sz w:val="22"/>
        </w:rPr>
        <w:t>by</w:t>
      </w:r>
      <w:r>
        <w:rPr>
          <w:spacing w:val="-5"/>
          <w:sz w:val="22"/>
        </w:rPr>
        <w:t> </w:t>
      </w:r>
      <w:r>
        <w:rPr>
          <w:sz w:val="22"/>
        </w:rPr>
        <w:t>the</w:t>
      </w:r>
      <w:r>
        <w:rPr>
          <w:spacing w:val="-2"/>
          <w:sz w:val="22"/>
        </w:rPr>
        <w:t> </w:t>
      </w:r>
      <w:r>
        <w:rPr>
          <w:sz w:val="22"/>
        </w:rPr>
        <w:t>Contractor)</w:t>
      </w:r>
      <w:r>
        <w:rPr>
          <w:spacing w:val="-1"/>
          <w:sz w:val="22"/>
        </w:rPr>
        <w:t> </w:t>
      </w:r>
      <w:r>
        <w:rPr>
          <w:sz w:val="22"/>
        </w:rPr>
        <w:t>or</w:t>
      </w:r>
      <w:r>
        <w:rPr>
          <w:spacing w:val="-3"/>
          <w:sz w:val="22"/>
        </w:rPr>
        <w:t> </w:t>
      </w:r>
      <w:r>
        <w:rPr>
          <w:sz w:val="22"/>
        </w:rPr>
        <w:t>if</w:t>
      </w:r>
      <w:r>
        <w:rPr>
          <w:spacing w:val="-4"/>
          <w:sz w:val="22"/>
        </w:rPr>
        <w:t> </w:t>
      </w:r>
      <w:r>
        <w:rPr>
          <w:sz w:val="22"/>
        </w:rPr>
        <w:t>the</w:t>
      </w:r>
      <w:r>
        <w:rPr>
          <w:spacing w:val="-2"/>
          <w:sz w:val="22"/>
        </w:rPr>
        <w:t> </w:t>
      </w:r>
      <w:r>
        <w:rPr>
          <w:sz w:val="22"/>
        </w:rPr>
        <w:t>defect</w:t>
      </w:r>
      <w:r>
        <w:rPr>
          <w:spacing w:val="-3"/>
          <w:sz w:val="22"/>
        </w:rPr>
        <w:t> </w:t>
      </w:r>
      <w:r>
        <w:rPr>
          <w:sz w:val="22"/>
        </w:rPr>
        <w:t>or damage is based on provisions or contributions that are not attributable to the Contractor (in particular those of the Customer), any warranty and liability shall lapse. The same applies if the defect or damage is based on configuration</w:t>
      </w:r>
    </w:p>
    <w:p>
      <w:pPr>
        <w:spacing w:after="0" w:line="276" w:lineRule="auto"/>
        <w:jc w:val="left"/>
        <w:rPr>
          <w:sz w:val="22"/>
        </w:rPr>
        <w:sectPr>
          <w:pgSz w:w="11900" w:h="16850"/>
          <w:pgMar w:header="452" w:footer="0" w:top="1320" w:bottom="280" w:left="1300" w:right="1300"/>
        </w:sectPr>
      </w:pPr>
    </w:p>
    <w:p>
      <w:pPr>
        <w:pStyle w:val="BodyText"/>
        <w:spacing w:line="276" w:lineRule="auto" w:before="90"/>
        <w:ind w:left="836" w:right="170"/>
      </w:pPr>
      <w:r>
        <w:rPr/>
        <w:t>instructions of the customer that deviate from those recommended by the contractor</w:t>
      </w:r>
      <w:r>
        <w:rPr>
          <w:spacing w:val="-1"/>
        </w:rPr>
        <w:t> </w:t>
      </w:r>
      <w:r>
        <w:rPr/>
        <w:t>or</w:t>
      </w:r>
      <w:r>
        <w:rPr>
          <w:spacing w:val="-4"/>
        </w:rPr>
        <w:t> </w:t>
      </w:r>
      <w:r>
        <w:rPr/>
        <w:t>manufacturer.</w:t>
      </w:r>
      <w:r>
        <w:rPr>
          <w:spacing w:val="-1"/>
        </w:rPr>
        <w:t> </w:t>
      </w:r>
      <w:r>
        <w:rPr/>
        <w:t>The</w:t>
      </w:r>
      <w:r>
        <w:rPr>
          <w:spacing w:val="-6"/>
        </w:rPr>
        <w:t> </w:t>
      </w:r>
      <w:r>
        <w:rPr/>
        <w:t>same</w:t>
      </w:r>
      <w:r>
        <w:rPr>
          <w:spacing w:val="-3"/>
        </w:rPr>
        <w:t> </w:t>
      </w:r>
      <w:r>
        <w:rPr/>
        <w:t>applies</w:t>
      </w:r>
      <w:r>
        <w:rPr>
          <w:spacing w:val="-3"/>
        </w:rPr>
        <w:t> </w:t>
      </w:r>
      <w:r>
        <w:rPr/>
        <w:t>to</w:t>
      </w:r>
      <w:r>
        <w:rPr>
          <w:spacing w:val="-6"/>
        </w:rPr>
        <w:t> </w:t>
      </w:r>
      <w:r>
        <w:rPr/>
        <w:t>damage</w:t>
      </w:r>
      <w:r>
        <w:rPr>
          <w:spacing w:val="-3"/>
        </w:rPr>
        <w:t> </w:t>
      </w:r>
      <w:r>
        <w:rPr/>
        <w:t>resulting</w:t>
      </w:r>
      <w:r>
        <w:rPr>
          <w:spacing w:val="-2"/>
        </w:rPr>
        <w:t> </w:t>
      </w:r>
      <w:r>
        <w:rPr/>
        <w:t>from</w:t>
      </w:r>
      <w:r>
        <w:rPr>
          <w:spacing w:val="-6"/>
        </w:rPr>
        <w:t> </w:t>
      </w:r>
      <w:r>
        <w:rPr/>
        <w:t>natural wear and tear or improper handling.</w:t>
      </w:r>
    </w:p>
    <w:p>
      <w:pPr>
        <w:pStyle w:val="BodyText"/>
        <w:spacing w:before="2"/>
        <w:rPr>
          <w:sz w:val="24"/>
        </w:rPr>
      </w:pPr>
    </w:p>
    <w:p>
      <w:pPr>
        <w:pStyle w:val="ListParagraph"/>
        <w:numPr>
          <w:ilvl w:val="1"/>
          <w:numId w:val="1"/>
        </w:numPr>
        <w:tabs>
          <w:tab w:pos="836" w:val="left" w:leader="none"/>
        </w:tabs>
        <w:spacing w:line="276" w:lineRule="auto" w:before="0" w:after="0"/>
        <w:ind w:left="836" w:right="143" w:hanging="360"/>
        <w:jc w:val="left"/>
        <w:rPr>
          <w:sz w:val="22"/>
        </w:rPr>
      </w:pPr>
      <w:r>
        <w:rPr>
          <w:sz w:val="22"/>
        </w:rPr>
        <w:t>No liability is accepted for incorrect reactions of the safety solutions, in particular due</w:t>
      </w:r>
      <w:r>
        <w:rPr>
          <w:spacing w:val="-3"/>
          <w:sz w:val="22"/>
        </w:rPr>
        <w:t> </w:t>
      </w:r>
      <w:r>
        <w:rPr>
          <w:sz w:val="22"/>
        </w:rPr>
        <w:t>to</w:t>
      </w:r>
      <w:r>
        <w:rPr>
          <w:spacing w:val="-4"/>
          <w:sz w:val="22"/>
        </w:rPr>
        <w:t> </w:t>
      </w:r>
      <w:r>
        <w:rPr>
          <w:sz w:val="22"/>
        </w:rPr>
        <w:t>force</w:t>
      </w:r>
      <w:r>
        <w:rPr>
          <w:spacing w:val="-3"/>
          <w:sz w:val="22"/>
        </w:rPr>
        <w:t> </w:t>
      </w:r>
      <w:r>
        <w:rPr>
          <w:sz w:val="22"/>
        </w:rPr>
        <w:t>majeure,</w:t>
      </w:r>
      <w:r>
        <w:rPr>
          <w:spacing w:val="-2"/>
          <w:sz w:val="22"/>
        </w:rPr>
        <w:t> </w:t>
      </w:r>
      <w:r>
        <w:rPr>
          <w:sz w:val="22"/>
        </w:rPr>
        <w:t>environmental</w:t>
      </w:r>
      <w:r>
        <w:rPr>
          <w:spacing w:val="-3"/>
          <w:sz w:val="22"/>
        </w:rPr>
        <w:t> </w:t>
      </w:r>
      <w:r>
        <w:rPr>
          <w:sz w:val="22"/>
        </w:rPr>
        <w:t>influences</w:t>
      </w:r>
      <w:r>
        <w:rPr>
          <w:spacing w:val="-5"/>
          <w:sz w:val="22"/>
        </w:rPr>
        <w:t> </w:t>
      </w:r>
      <w:r>
        <w:rPr>
          <w:sz w:val="22"/>
        </w:rPr>
        <w:t>or</w:t>
      </w:r>
      <w:r>
        <w:rPr>
          <w:spacing w:val="-3"/>
          <w:sz w:val="22"/>
        </w:rPr>
        <w:t> </w:t>
      </w:r>
      <w:r>
        <w:rPr>
          <w:sz w:val="22"/>
        </w:rPr>
        <w:t>human,</w:t>
      </w:r>
      <w:r>
        <w:rPr>
          <w:spacing w:val="-3"/>
          <w:sz w:val="22"/>
        </w:rPr>
        <w:t> </w:t>
      </w:r>
      <w:r>
        <w:rPr>
          <w:sz w:val="22"/>
        </w:rPr>
        <w:t>animal</w:t>
      </w:r>
      <w:r>
        <w:rPr>
          <w:spacing w:val="-3"/>
          <w:sz w:val="22"/>
        </w:rPr>
        <w:t> </w:t>
      </w:r>
      <w:r>
        <w:rPr>
          <w:sz w:val="22"/>
        </w:rPr>
        <w:t>or</w:t>
      </w:r>
      <w:r>
        <w:rPr>
          <w:spacing w:val="-3"/>
          <w:sz w:val="22"/>
        </w:rPr>
        <w:t> </w:t>
      </w:r>
      <w:r>
        <w:rPr>
          <w:sz w:val="22"/>
        </w:rPr>
        <w:t>other</w:t>
      </w:r>
      <w:r>
        <w:rPr>
          <w:spacing w:val="-3"/>
          <w:sz w:val="22"/>
        </w:rPr>
        <w:t> </w:t>
      </w:r>
      <w:r>
        <w:rPr>
          <w:sz w:val="22"/>
        </w:rPr>
        <w:t>external </w:t>
      </w:r>
      <w:r>
        <w:rPr>
          <w:spacing w:val="-2"/>
          <w:sz w:val="22"/>
        </w:rPr>
        <w:t>influences.</w:t>
      </w:r>
    </w:p>
    <w:p>
      <w:pPr>
        <w:pStyle w:val="BodyText"/>
        <w:spacing w:before="2"/>
        <w:rPr>
          <w:sz w:val="24"/>
        </w:rPr>
      </w:pPr>
    </w:p>
    <w:p>
      <w:pPr>
        <w:pStyle w:val="ListParagraph"/>
        <w:numPr>
          <w:ilvl w:val="1"/>
          <w:numId w:val="1"/>
        </w:numPr>
        <w:tabs>
          <w:tab w:pos="836" w:val="left" w:leader="none"/>
        </w:tabs>
        <w:spacing w:line="276" w:lineRule="auto" w:before="0" w:after="0"/>
        <w:ind w:left="836" w:right="281" w:hanging="360"/>
        <w:jc w:val="left"/>
        <w:rPr>
          <w:sz w:val="22"/>
        </w:rPr>
      </w:pPr>
      <w:r>
        <w:rPr>
          <w:sz w:val="22"/>
        </w:rPr>
        <w:t>If the security solution relies on a communication system that is not part of the security</w:t>
      </w:r>
      <w:r>
        <w:rPr>
          <w:spacing w:val="-3"/>
          <w:sz w:val="22"/>
        </w:rPr>
        <w:t> </w:t>
      </w:r>
      <w:r>
        <w:rPr>
          <w:sz w:val="22"/>
        </w:rPr>
        <w:t>solution</w:t>
      </w:r>
      <w:r>
        <w:rPr>
          <w:spacing w:val="-2"/>
          <w:sz w:val="22"/>
        </w:rPr>
        <w:t> </w:t>
      </w:r>
      <w:r>
        <w:rPr>
          <w:sz w:val="22"/>
        </w:rPr>
        <w:t>(such</w:t>
      </w:r>
      <w:r>
        <w:rPr>
          <w:spacing w:val="-5"/>
          <w:sz w:val="22"/>
        </w:rPr>
        <w:t> </w:t>
      </w:r>
      <w:r>
        <w:rPr>
          <w:sz w:val="22"/>
        </w:rPr>
        <w:t>as</w:t>
      </w:r>
      <w:r>
        <w:rPr>
          <w:spacing w:val="-3"/>
          <w:sz w:val="22"/>
        </w:rPr>
        <w:t> </w:t>
      </w:r>
      <w:r>
        <w:rPr>
          <w:sz w:val="22"/>
        </w:rPr>
        <w:t>an</w:t>
      </w:r>
      <w:r>
        <w:rPr>
          <w:spacing w:val="-3"/>
          <w:sz w:val="22"/>
        </w:rPr>
        <w:t> </w:t>
      </w:r>
      <w:r>
        <w:rPr>
          <w:sz w:val="22"/>
        </w:rPr>
        <w:t>Internet,</w:t>
      </w:r>
      <w:r>
        <w:rPr>
          <w:spacing w:val="-2"/>
          <w:sz w:val="22"/>
        </w:rPr>
        <w:t> </w:t>
      </w:r>
      <w:r>
        <w:rPr>
          <w:sz w:val="22"/>
        </w:rPr>
        <w:t>mobile</w:t>
      </w:r>
      <w:r>
        <w:rPr>
          <w:spacing w:val="-3"/>
          <w:sz w:val="22"/>
        </w:rPr>
        <w:t> </w:t>
      </w:r>
      <w:r>
        <w:rPr>
          <w:sz w:val="22"/>
        </w:rPr>
        <w:t>phone</w:t>
      </w:r>
      <w:r>
        <w:rPr>
          <w:spacing w:val="-4"/>
          <w:sz w:val="22"/>
        </w:rPr>
        <w:t> </w:t>
      </w:r>
      <w:r>
        <w:rPr>
          <w:sz w:val="22"/>
        </w:rPr>
        <w:t>or</w:t>
      </w:r>
      <w:r>
        <w:rPr>
          <w:spacing w:val="-2"/>
          <w:sz w:val="22"/>
        </w:rPr>
        <w:t> </w:t>
      </w:r>
      <w:r>
        <w:rPr>
          <w:sz w:val="22"/>
        </w:rPr>
        <w:t>telephone</w:t>
      </w:r>
      <w:r>
        <w:rPr>
          <w:spacing w:val="-5"/>
          <w:sz w:val="22"/>
        </w:rPr>
        <w:t> </w:t>
      </w:r>
      <w:r>
        <w:rPr>
          <w:sz w:val="22"/>
        </w:rPr>
        <w:t>connection),</w:t>
      </w:r>
      <w:r>
        <w:rPr>
          <w:spacing w:val="-4"/>
          <w:sz w:val="22"/>
        </w:rPr>
        <w:t> </w:t>
      </w:r>
      <w:r>
        <w:rPr>
          <w:sz w:val="22"/>
        </w:rPr>
        <w:t>the customer is responsible for the functionality of the communication system. The Contractor shall not be liable for a failure of the communication system or other damage that occurs due to such a failure.</w:t>
      </w:r>
    </w:p>
    <w:p>
      <w:pPr>
        <w:pStyle w:val="BodyText"/>
        <w:spacing w:before="3"/>
        <w:rPr>
          <w:sz w:val="24"/>
        </w:rPr>
      </w:pPr>
    </w:p>
    <w:p>
      <w:pPr>
        <w:pStyle w:val="ListParagraph"/>
        <w:numPr>
          <w:ilvl w:val="1"/>
          <w:numId w:val="1"/>
        </w:numPr>
        <w:tabs>
          <w:tab w:pos="836" w:val="left" w:leader="none"/>
        </w:tabs>
        <w:spacing w:line="276" w:lineRule="auto" w:before="0" w:after="0"/>
        <w:ind w:left="836" w:right="142" w:hanging="360"/>
        <w:jc w:val="left"/>
        <w:rPr>
          <w:sz w:val="22"/>
        </w:rPr>
      </w:pPr>
      <w:r>
        <w:rPr>
          <w:sz w:val="22"/>
        </w:rPr>
        <w:t>If the security solution uses an internal communication system (e.g. Bluetooth, internal W-LAN, radio), the Contractor shall carry out the positioning in such a way that functional communication is guaranteed. If the communication does not function</w:t>
      </w:r>
      <w:r>
        <w:rPr>
          <w:spacing w:val="-2"/>
          <w:sz w:val="22"/>
        </w:rPr>
        <w:t> </w:t>
      </w:r>
      <w:r>
        <w:rPr>
          <w:sz w:val="22"/>
        </w:rPr>
        <w:t>properly</w:t>
      </w:r>
      <w:r>
        <w:rPr>
          <w:spacing w:val="-2"/>
          <w:sz w:val="22"/>
        </w:rPr>
        <w:t> </w:t>
      </w:r>
      <w:r>
        <w:rPr>
          <w:sz w:val="22"/>
        </w:rPr>
        <w:t>due</w:t>
      </w:r>
      <w:r>
        <w:rPr>
          <w:spacing w:val="-4"/>
          <w:sz w:val="22"/>
        </w:rPr>
        <w:t> </w:t>
      </w:r>
      <w:r>
        <w:rPr>
          <w:sz w:val="22"/>
        </w:rPr>
        <w:t>to</w:t>
      </w:r>
      <w:r>
        <w:rPr>
          <w:spacing w:val="-3"/>
          <w:sz w:val="22"/>
        </w:rPr>
        <w:t> </w:t>
      </w:r>
      <w:r>
        <w:rPr>
          <w:sz w:val="22"/>
        </w:rPr>
        <w:t>a</w:t>
      </w:r>
      <w:r>
        <w:rPr>
          <w:spacing w:val="-2"/>
          <w:sz w:val="22"/>
        </w:rPr>
        <w:t> </w:t>
      </w:r>
      <w:r>
        <w:rPr>
          <w:sz w:val="22"/>
        </w:rPr>
        <w:t>positioning</w:t>
      </w:r>
      <w:r>
        <w:rPr>
          <w:spacing w:val="-3"/>
          <w:sz w:val="22"/>
        </w:rPr>
        <w:t> </w:t>
      </w:r>
      <w:r>
        <w:rPr>
          <w:sz w:val="22"/>
        </w:rPr>
        <w:t>request</w:t>
      </w:r>
      <w:r>
        <w:rPr>
          <w:spacing w:val="-2"/>
          <w:sz w:val="22"/>
        </w:rPr>
        <w:t> </w:t>
      </w:r>
      <w:r>
        <w:rPr>
          <w:sz w:val="22"/>
        </w:rPr>
        <w:t>by</w:t>
      </w:r>
      <w:r>
        <w:rPr>
          <w:spacing w:val="-2"/>
          <w:sz w:val="22"/>
        </w:rPr>
        <w:t> </w:t>
      </w:r>
      <w:r>
        <w:rPr>
          <w:sz w:val="22"/>
        </w:rPr>
        <w:t>the</w:t>
      </w:r>
      <w:r>
        <w:rPr>
          <w:spacing w:val="-5"/>
          <w:sz w:val="22"/>
        </w:rPr>
        <w:t> </w:t>
      </w:r>
      <w:r>
        <w:rPr>
          <w:sz w:val="22"/>
        </w:rPr>
        <w:t>customer,</w:t>
      </w:r>
      <w:r>
        <w:rPr>
          <w:spacing w:val="-3"/>
          <w:sz w:val="22"/>
        </w:rPr>
        <w:t> </w:t>
      </w:r>
      <w:r>
        <w:rPr>
          <w:sz w:val="22"/>
        </w:rPr>
        <w:t>the</w:t>
      </w:r>
      <w:r>
        <w:rPr>
          <w:spacing w:val="-4"/>
          <w:sz w:val="22"/>
        </w:rPr>
        <w:t> </w:t>
      </w:r>
      <w:r>
        <w:rPr>
          <w:sz w:val="22"/>
        </w:rPr>
        <w:t>contractor</w:t>
      </w:r>
      <w:r>
        <w:rPr>
          <w:spacing w:val="-3"/>
          <w:sz w:val="22"/>
        </w:rPr>
        <w:t> </w:t>
      </w:r>
      <w:r>
        <w:rPr>
          <w:sz w:val="22"/>
        </w:rPr>
        <w:t>shall not be liable for this or for any resulting damage. In this case, any additional costs incurred to restore functionality shall be borne by the customer at the usual rates.</w:t>
      </w:r>
    </w:p>
    <w:p>
      <w:pPr>
        <w:pStyle w:val="BodyText"/>
        <w:spacing w:before="1"/>
        <w:rPr>
          <w:sz w:val="24"/>
        </w:rPr>
      </w:pPr>
    </w:p>
    <w:p>
      <w:pPr>
        <w:pStyle w:val="ListParagraph"/>
        <w:numPr>
          <w:ilvl w:val="1"/>
          <w:numId w:val="1"/>
        </w:numPr>
        <w:tabs>
          <w:tab w:pos="836" w:val="left" w:leader="none"/>
        </w:tabs>
        <w:spacing w:line="276" w:lineRule="auto" w:before="0" w:after="0"/>
        <w:ind w:left="836" w:right="192" w:hanging="360"/>
        <w:jc w:val="left"/>
        <w:rPr>
          <w:sz w:val="22"/>
        </w:rPr>
      </w:pPr>
      <w:r>
        <w:rPr>
          <w:sz w:val="22"/>
        </w:rPr>
        <w:t>The</w:t>
      </w:r>
      <w:r>
        <w:rPr>
          <w:spacing w:val="-3"/>
          <w:sz w:val="22"/>
        </w:rPr>
        <w:t> </w:t>
      </w:r>
      <w:r>
        <w:rPr>
          <w:sz w:val="22"/>
        </w:rPr>
        <w:t>Contractor</w:t>
      </w:r>
      <w:r>
        <w:rPr>
          <w:spacing w:val="-3"/>
          <w:sz w:val="22"/>
        </w:rPr>
        <w:t> </w:t>
      </w:r>
      <w:r>
        <w:rPr>
          <w:sz w:val="22"/>
        </w:rPr>
        <w:t>shall</w:t>
      </w:r>
      <w:r>
        <w:rPr>
          <w:spacing w:val="-3"/>
          <w:sz w:val="22"/>
        </w:rPr>
        <w:t> </w:t>
      </w:r>
      <w:r>
        <w:rPr>
          <w:sz w:val="22"/>
        </w:rPr>
        <w:t>only</w:t>
      </w:r>
      <w:r>
        <w:rPr>
          <w:spacing w:val="-3"/>
          <w:sz w:val="22"/>
        </w:rPr>
        <w:t> </w:t>
      </w:r>
      <w:r>
        <w:rPr>
          <w:sz w:val="22"/>
        </w:rPr>
        <w:t>be</w:t>
      </w:r>
      <w:r>
        <w:rPr>
          <w:spacing w:val="-3"/>
          <w:sz w:val="22"/>
        </w:rPr>
        <w:t> </w:t>
      </w:r>
      <w:r>
        <w:rPr>
          <w:sz w:val="22"/>
        </w:rPr>
        <w:t>liable</w:t>
      </w:r>
      <w:r>
        <w:rPr>
          <w:spacing w:val="-3"/>
          <w:sz w:val="22"/>
        </w:rPr>
        <w:t> </w:t>
      </w:r>
      <w:r>
        <w:rPr>
          <w:sz w:val="22"/>
        </w:rPr>
        <w:t>for</w:t>
      </w:r>
      <w:r>
        <w:rPr>
          <w:spacing w:val="-2"/>
          <w:sz w:val="22"/>
        </w:rPr>
        <w:t> </w:t>
      </w:r>
      <w:r>
        <w:rPr>
          <w:sz w:val="22"/>
        </w:rPr>
        <w:t>damage</w:t>
      </w:r>
      <w:r>
        <w:rPr>
          <w:spacing w:val="-4"/>
          <w:sz w:val="22"/>
        </w:rPr>
        <w:t> </w:t>
      </w:r>
      <w:r>
        <w:rPr>
          <w:sz w:val="22"/>
        </w:rPr>
        <w:t>caused</w:t>
      </w:r>
      <w:r>
        <w:rPr>
          <w:spacing w:val="-3"/>
          <w:sz w:val="22"/>
        </w:rPr>
        <w:t> </w:t>
      </w:r>
      <w:r>
        <w:rPr>
          <w:sz w:val="22"/>
        </w:rPr>
        <w:t>by</w:t>
      </w:r>
      <w:r>
        <w:rPr>
          <w:spacing w:val="-3"/>
          <w:sz w:val="22"/>
        </w:rPr>
        <w:t> </w:t>
      </w:r>
      <w:r>
        <w:rPr>
          <w:sz w:val="22"/>
        </w:rPr>
        <w:t>a</w:t>
      </w:r>
      <w:r>
        <w:rPr>
          <w:spacing w:val="-3"/>
          <w:sz w:val="22"/>
        </w:rPr>
        <w:t> </w:t>
      </w:r>
      <w:r>
        <w:rPr>
          <w:sz w:val="22"/>
        </w:rPr>
        <w:t>functional</w:t>
      </w:r>
      <w:r>
        <w:rPr>
          <w:spacing w:val="-2"/>
          <w:sz w:val="22"/>
        </w:rPr>
        <w:t> </w:t>
      </w:r>
      <w:r>
        <w:rPr>
          <w:sz w:val="22"/>
        </w:rPr>
        <w:t>failure</w:t>
      </w:r>
      <w:r>
        <w:rPr>
          <w:spacing w:val="-2"/>
          <w:sz w:val="22"/>
        </w:rPr>
        <w:t> </w:t>
      </w:r>
      <w:r>
        <w:rPr>
          <w:sz w:val="22"/>
        </w:rPr>
        <w:t>of</w:t>
      </w:r>
      <w:r>
        <w:rPr>
          <w:spacing w:val="-4"/>
          <w:sz w:val="22"/>
        </w:rPr>
        <w:t> </w:t>
      </w:r>
      <w:r>
        <w:rPr>
          <w:sz w:val="22"/>
        </w:rPr>
        <w:t>the security system attributable to the Contractor if the Contractor is demonstrably notified of the functional failure immediately after it occurs and the Contractor does not rectify the failure within 24 hours. Reference is made to the Customer's duty to minimise damages.</w:t>
      </w:r>
    </w:p>
    <w:p>
      <w:pPr>
        <w:spacing w:after="0" w:line="276" w:lineRule="auto"/>
        <w:jc w:val="left"/>
        <w:rPr>
          <w:sz w:val="22"/>
        </w:rPr>
        <w:sectPr>
          <w:pgSz w:w="11900" w:h="16850"/>
          <w:pgMar w:header="452" w:footer="0" w:top="1320" w:bottom="280" w:left="1300" w:right="1300"/>
        </w:sectPr>
      </w:pPr>
    </w:p>
    <w:p>
      <w:pPr>
        <w:spacing w:before="91"/>
        <w:ind w:left="1356" w:right="1356" w:firstLine="0"/>
        <w:jc w:val="center"/>
        <w:rPr>
          <w:b/>
          <w:sz w:val="32"/>
        </w:rPr>
      </w:pPr>
      <w:r>
        <w:rPr>
          <w:b/>
          <w:sz w:val="32"/>
        </w:rPr>
        <w:t>Accompanying</w:t>
      </w:r>
      <w:r>
        <w:rPr>
          <w:b/>
          <w:spacing w:val="-21"/>
          <w:sz w:val="32"/>
        </w:rPr>
        <w:t> </w:t>
      </w:r>
      <w:r>
        <w:rPr>
          <w:b/>
          <w:spacing w:val="-4"/>
          <w:sz w:val="32"/>
        </w:rPr>
        <w:t>sheet</w:t>
      </w:r>
    </w:p>
    <w:p>
      <w:pPr>
        <w:spacing w:before="187"/>
        <w:ind w:left="1356" w:right="1355" w:firstLine="0"/>
        <w:jc w:val="center"/>
        <w:rPr>
          <w:b/>
          <w:sz w:val="32"/>
        </w:rPr>
      </w:pPr>
      <w:r>
        <w:rPr>
          <w:b/>
          <w:sz w:val="32"/>
        </w:rPr>
        <w:t>to</w:t>
      </w:r>
      <w:r>
        <w:rPr>
          <w:b/>
          <w:spacing w:val="-9"/>
          <w:sz w:val="32"/>
        </w:rPr>
        <w:t> </w:t>
      </w:r>
      <w:r>
        <w:rPr>
          <w:b/>
          <w:sz w:val="32"/>
        </w:rPr>
        <w:t>the</w:t>
      </w:r>
      <w:r>
        <w:rPr>
          <w:b/>
          <w:spacing w:val="-6"/>
          <w:sz w:val="32"/>
        </w:rPr>
        <w:t> </w:t>
      </w:r>
      <w:r>
        <w:rPr>
          <w:b/>
          <w:sz w:val="32"/>
        </w:rPr>
        <w:t>General</w:t>
      </w:r>
      <w:r>
        <w:rPr>
          <w:b/>
          <w:spacing w:val="-5"/>
          <w:sz w:val="32"/>
        </w:rPr>
        <w:t> </w:t>
      </w:r>
      <w:r>
        <w:rPr>
          <w:b/>
          <w:sz w:val="32"/>
        </w:rPr>
        <w:t>Terms</w:t>
      </w:r>
      <w:r>
        <w:rPr>
          <w:b/>
          <w:spacing w:val="-9"/>
          <w:sz w:val="32"/>
        </w:rPr>
        <w:t> </w:t>
      </w:r>
      <w:r>
        <w:rPr>
          <w:b/>
          <w:sz w:val="32"/>
        </w:rPr>
        <w:t>and</w:t>
      </w:r>
      <w:r>
        <w:rPr>
          <w:b/>
          <w:spacing w:val="-8"/>
          <w:sz w:val="32"/>
        </w:rPr>
        <w:t> </w:t>
      </w:r>
      <w:r>
        <w:rPr>
          <w:b/>
          <w:spacing w:val="-2"/>
          <w:sz w:val="32"/>
        </w:rPr>
        <w:t>Conditions</w:t>
      </w:r>
    </w:p>
    <w:p>
      <w:pPr>
        <w:spacing w:line="360" w:lineRule="auto" w:before="185"/>
        <w:ind w:left="512" w:right="507" w:hanging="5"/>
        <w:jc w:val="center"/>
        <w:rPr>
          <w:b/>
          <w:sz w:val="32"/>
        </w:rPr>
      </w:pPr>
      <w:r>
        <w:rPr>
          <w:b/>
          <w:sz w:val="32"/>
        </w:rPr>
        <w:t>for the sale and delivery of organisation, programming services</w:t>
      </w:r>
      <w:r>
        <w:rPr>
          <w:b/>
          <w:spacing w:val="-5"/>
          <w:sz w:val="32"/>
        </w:rPr>
        <w:t> </w:t>
      </w:r>
      <w:r>
        <w:rPr>
          <w:b/>
          <w:sz w:val="32"/>
        </w:rPr>
        <w:t>and</w:t>
      </w:r>
      <w:r>
        <w:rPr>
          <w:b/>
          <w:spacing w:val="-6"/>
          <w:sz w:val="32"/>
        </w:rPr>
        <w:t> </w:t>
      </w:r>
      <w:r>
        <w:rPr>
          <w:b/>
          <w:sz w:val="32"/>
        </w:rPr>
        <w:t>work</w:t>
      </w:r>
      <w:r>
        <w:rPr>
          <w:b/>
          <w:spacing w:val="-5"/>
          <w:sz w:val="32"/>
        </w:rPr>
        <w:t> </w:t>
      </w:r>
      <w:r>
        <w:rPr>
          <w:b/>
          <w:sz w:val="32"/>
        </w:rPr>
        <w:t>usage</w:t>
      </w:r>
      <w:r>
        <w:rPr>
          <w:b/>
          <w:spacing w:val="-5"/>
          <w:sz w:val="32"/>
        </w:rPr>
        <w:t> </w:t>
      </w:r>
      <w:r>
        <w:rPr>
          <w:b/>
          <w:sz w:val="32"/>
        </w:rPr>
        <w:t>licences</w:t>
      </w:r>
      <w:r>
        <w:rPr>
          <w:b/>
          <w:spacing w:val="-7"/>
          <w:sz w:val="32"/>
        </w:rPr>
        <w:t> </w:t>
      </w:r>
      <w:r>
        <w:rPr>
          <w:b/>
          <w:sz w:val="32"/>
        </w:rPr>
        <w:t>for</w:t>
      </w:r>
      <w:r>
        <w:rPr>
          <w:b/>
          <w:spacing w:val="-4"/>
          <w:sz w:val="32"/>
        </w:rPr>
        <w:t> </w:t>
      </w:r>
      <w:r>
        <w:rPr>
          <w:b/>
          <w:sz w:val="32"/>
        </w:rPr>
        <w:t>software</w:t>
      </w:r>
      <w:r>
        <w:rPr>
          <w:b/>
          <w:spacing w:val="-6"/>
          <w:sz w:val="32"/>
        </w:rPr>
        <w:t> </w:t>
      </w:r>
      <w:r>
        <w:rPr>
          <w:b/>
          <w:sz w:val="32"/>
        </w:rPr>
        <w:t>products </w:t>
      </w:r>
      <w:r>
        <w:rPr>
          <w:b/>
          <w:spacing w:val="-2"/>
          <w:sz w:val="32"/>
        </w:rPr>
        <w:t>(B2B)</w:t>
      </w:r>
    </w:p>
    <w:p>
      <w:pPr>
        <w:pStyle w:val="BodyText"/>
        <w:rPr>
          <w:b/>
          <w:sz w:val="48"/>
        </w:rPr>
      </w:pPr>
    </w:p>
    <w:p>
      <w:pPr>
        <w:spacing w:before="1"/>
        <w:ind w:left="1356" w:right="1357" w:firstLine="0"/>
        <w:jc w:val="center"/>
        <w:rPr>
          <w:b/>
          <w:sz w:val="32"/>
        </w:rPr>
      </w:pPr>
      <w:r>
        <w:rPr>
          <w:b/>
          <w:sz w:val="32"/>
        </w:rPr>
        <w:t>2024</w:t>
      </w:r>
      <w:r>
        <w:rPr>
          <w:b/>
          <w:spacing w:val="-12"/>
          <w:sz w:val="32"/>
        </w:rPr>
        <w:t> </w:t>
      </w:r>
      <w:r>
        <w:rPr>
          <w:b/>
          <w:spacing w:val="-2"/>
          <w:sz w:val="32"/>
        </w:rPr>
        <w:t>version</w:t>
      </w:r>
    </w:p>
    <w:p>
      <w:pPr>
        <w:pStyle w:val="BodyText"/>
        <w:spacing w:before="2"/>
        <w:rPr>
          <w:b/>
          <w:sz w:val="40"/>
        </w:rPr>
      </w:pPr>
    </w:p>
    <w:p>
      <w:pPr>
        <w:pStyle w:val="BodyText"/>
        <w:spacing w:line="276" w:lineRule="auto"/>
        <w:ind w:left="116" w:right="212"/>
      </w:pPr>
      <w:r>
        <w:rPr/>
        <w:t>These</w:t>
      </w:r>
      <w:r>
        <w:rPr>
          <w:spacing w:val="-3"/>
        </w:rPr>
        <w:t> </w:t>
      </w:r>
      <w:r>
        <w:rPr/>
        <w:t>GTC</w:t>
      </w:r>
      <w:r>
        <w:rPr>
          <w:spacing w:val="-2"/>
        </w:rPr>
        <w:t> </w:t>
      </w:r>
      <w:r>
        <w:rPr/>
        <w:t>are</w:t>
      </w:r>
      <w:r>
        <w:rPr>
          <w:spacing w:val="-1"/>
        </w:rPr>
        <w:t> </w:t>
      </w:r>
      <w:r>
        <w:rPr/>
        <w:t>merely</w:t>
      </w:r>
      <w:r>
        <w:rPr>
          <w:spacing w:val="-5"/>
        </w:rPr>
        <w:t> </w:t>
      </w:r>
      <w:r>
        <w:rPr/>
        <w:t>to</w:t>
      </w:r>
      <w:r>
        <w:rPr>
          <w:spacing w:val="-3"/>
        </w:rPr>
        <w:t> </w:t>
      </w:r>
      <w:r>
        <w:rPr/>
        <w:t>be</w:t>
      </w:r>
      <w:r>
        <w:rPr>
          <w:spacing w:val="-2"/>
        </w:rPr>
        <w:t> </w:t>
      </w:r>
      <w:r>
        <w:rPr/>
        <w:t>understood</w:t>
      </w:r>
      <w:r>
        <w:rPr>
          <w:spacing w:val="-2"/>
        </w:rPr>
        <w:t> </w:t>
      </w:r>
      <w:r>
        <w:rPr/>
        <w:t>as</w:t>
      </w:r>
      <w:r>
        <w:rPr>
          <w:spacing w:val="-2"/>
        </w:rPr>
        <w:t> </w:t>
      </w:r>
      <w:r>
        <w:rPr/>
        <w:t>a</w:t>
      </w:r>
      <w:r>
        <w:rPr>
          <w:spacing w:val="-2"/>
        </w:rPr>
        <w:t> </w:t>
      </w:r>
      <w:r>
        <w:rPr/>
        <w:t>model</w:t>
      </w:r>
      <w:r>
        <w:rPr>
          <w:spacing w:val="-2"/>
        </w:rPr>
        <w:t> </w:t>
      </w:r>
      <w:r>
        <w:rPr/>
        <w:t>for</w:t>
      </w:r>
      <w:r>
        <w:rPr>
          <w:spacing w:val="-3"/>
        </w:rPr>
        <w:t> </w:t>
      </w:r>
      <w:r>
        <w:rPr/>
        <w:t>the</w:t>
      </w:r>
      <w:r>
        <w:rPr>
          <w:spacing w:val="-2"/>
        </w:rPr>
        <w:t> </w:t>
      </w:r>
      <w:r>
        <w:rPr/>
        <w:t>drafting</w:t>
      </w:r>
      <w:r>
        <w:rPr>
          <w:spacing w:val="-1"/>
        </w:rPr>
        <w:t> </w:t>
      </w:r>
      <w:r>
        <w:rPr/>
        <w:t>of</w:t>
      </w:r>
      <w:r>
        <w:rPr>
          <w:spacing w:val="-2"/>
        </w:rPr>
        <w:t> </w:t>
      </w:r>
      <w:r>
        <w:rPr/>
        <w:t>GTC.</w:t>
      </w:r>
      <w:r>
        <w:rPr>
          <w:spacing w:val="-2"/>
        </w:rPr>
        <w:t> </w:t>
      </w:r>
      <w:r>
        <w:rPr/>
        <w:t>The</w:t>
      </w:r>
      <w:r>
        <w:rPr>
          <w:spacing w:val="-3"/>
        </w:rPr>
        <w:t> </w:t>
      </w:r>
      <w:r>
        <w:rPr/>
        <w:t>provisions contained herein are suggestions that may be deviated from in individual cases. If deviating provisions are agreed in a specific contract, to avoid misunderstandings it is generally helpful to clearly indicate which provision of the GTC specifically amends the contractual agreement (e.g.: "this provision replaces point x. of</w:t>
      </w:r>
      <w:r>
        <w:rPr>
          <w:spacing w:val="-1"/>
        </w:rPr>
        <w:t> </w:t>
      </w:r>
      <w:r>
        <w:rPr/>
        <w:t>the GTC"). The use</w:t>
      </w:r>
      <w:r>
        <w:rPr>
          <w:spacing w:val="-1"/>
        </w:rPr>
        <w:t> </w:t>
      </w:r>
      <w:r>
        <w:rPr/>
        <w:t>of the template cannot substitute consulting by a legal advisor.</w:t>
      </w:r>
    </w:p>
    <w:p>
      <w:pPr>
        <w:pStyle w:val="BodyText"/>
        <w:spacing w:before="2"/>
        <w:rPr>
          <w:sz w:val="26"/>
        </w:rPr>
      </w:pPr>
    </w:p>
    <w:p>
      <w:pPr>
        <w:pStyle w:val="BodyText"/>
        <w:ind w:left="116"/>
      </w:pPr>
      <w:r>
        <w:rPr>
          <w:u w:val="single"/>
        </w:rPr>
        <w:t>Please</w:t>
      </w:r>
      <w:r>
        <w:rPr>
          <w:spacing w:val="-3"/>
          <w:u w:val="single"/>
        </w:rPr>
        <w:t> </w:t>
      </w:r>
      <w:r>
        <w:rPr>
          <w:u w:val="single"/>
        </w:rPr>
        <w:t>note</w:t>
      </w:r>
      <w:r>
        <w:rPr>
          <w:spacing w:val="-2"/>
          <w:u w:val="single"/>
        </w:rPr>
        <w:t> </w:t>
      </w:r>
      <w:r>
        <w:rPr>
          <w:u w:val="single"/>
        </w:rPr>
        <w:t>as</w:t>
      </w:r>
      <w:r>
        <w:rPr>
          <w:spacing w:val="-2"/>
          <w:u w:val="single"/>
        </w:rPr>
        <w:t> follows:</w:t>
      </w:r>
    </w:p>
    <w:p>
      <w:pPr>
        <w:pStyle w:val="BodyText"/>
        <w:spacing w:before="8"/>
        <w:rPr>
          <w:sz w:val="17"/>
        </w:rPr>
      </w:pPr>
    </w:p>
    <w:p>
      <w:pPr>
        <w:pStyle w:val="Heading1"/>
        <w:spacing w:before="101"/>
      </w:pPr>
      <w:r>
        <w:rPr>
          <w:spacing w:val="-2"/>
        </w:rPr>
        <w:t>Validity</w:t>
      </w:r>
    </w:p>
    <w:p>
      <w:pPr>
        <w:pStyle w:val="BodyText"/>
        <w:spacing w:before="10"/>
        <w:rPr>
          <w:b/>
          <w:sz w:val="23"/>
        </w:rPr>
      </w:pPr>
    </w:p>
    <w:p>
      <w:pPr>
        <w:pStyle w:val="BodyText"/>
        <w:spacing w:line="276" w:lineRule="auto"/>
        <w:ind w:left="116" w:right="212"/>
      </w:pPr>
      <w:r>
        <w:rPr/>
        <w:t>In</w:t>
      </w:r>
      <w:r>
        <w:rPr>
          <w:spacing w:val="-3"/>
        </w:rPr>
        <w:t> </w:t>
      </w:r>
      <w:r>
        <w:rPr/>
        <w:t>principle,</w:t>
      </w:r>
      <w:r>
        <w:rPr>
          <w:spacing w:val="-4"/>
        </w:rPr>
        <w:t> </w:t>
      </w:r>
      <w:r>
        <w:rPr/>
        <w:t>contractual</w:t>
      </w:r>
      <w:r>
        <w:rPr>
          <w:spacing w:val="-4"/>
        </w:rPr>
        <w:t> </w:t>
      </w:r>
      <w:r>
        <w:rPr/>
        <w:t>agreements</w:t>
      </w:r>
      <w:r>
        <w:rPr>
          <w:spacing w:val="-5"/>
        </w:rPr>
        <w:t> </w:t>
      </w:r>
      <w:r>
        <w:rPr/>
        <w:t>take</w:t>
      </w:r>
      <w:r>
        <w:rPr>
          <w:spacing w:val="-3"/>
        </w:rPr>
        <w:t> </w:t>
      </w:r>
      <w:r>
        <w:rPr/>
        <w:t>precedence</w:t>
      </w:r>
      <w:r>
        <w:rPr>
          <w:spacing w:val="-2"/>
        </w:rPr>
        <w:t> </w:t>
      </w:r>
      <w:r>
        <w:rPr/>
        <w:t>over</w:t>
      </w:r>
      <w:r>
        <w:rPr>
          <w:spacing w:val="-5"/>
        </w:rPr>
        <w:t> </w:t>
      </w:r>
      <w:r>
        <w:rPr/>
        <w:t>the</w:t>
      </w:r>
      <w:r>
        <w:rPr>
          <w:spacing w:val="-3"/>
        </w:rPr>
        <w:t> </w:t>
      </w:r>
      <w:r>
        <w:rPr/>
        <w:t>provisions</w:t>
      </w:r>
      <w:r>
        <w:rPr>
          <w:spacing w:val="-3"/>
        </w:rPr>
        <w:t> </w:t>
      </w:r>
      <w:r>
        <w:rPr/>
        <w:t>contained</w:t>
      </w:r>
      <w:r>
        <w:rPr>
          <w:spacing w:val="-3"/>
        </w:rPr>
        <w:t> </w:t>
      </w:r>
      <w:r>
        <w:rPr/>
        <w:t>in</w:t>
      </w:r>
      <w:r>
        <w:rPr>
          <w:spacing w:val="-6"/>
        </w:rPr>
        <w:t> </w:t>
      </w:r>
      <w:r>
        <w:rPr/>
        <w:t>the GTC. In addition, the GTC shall only become part of the contract if this is (demonstrably) agreed - preferably in writing. At the same time (before conclusion of the contract), the GTC</w:t>
      </w:r>
      <w:r>
        <w:rPr>
          <w:spacing w:val="-1"/>
        </w:rPr>
        <w:t> </w:t>
      </w:r>
      <w:r>
        <w:rPr/>
        <w:t>must be</w:t>
      </w:r>
      <w:r>
        <w:rPr>
          <w:spacing w:val="-3"/>
        </w:rPr>
        <w:t> </w:t>
      </w:r>
      <w:r>
        <w:rPr/>
        <w:t>communicated</w:t>
      </w:r>
      <w:r>
        <w:rPr>
          <w:spacing w:val="-3"/>
        </w:rPr>
        <w:t> </w:t>
      </w:r>
      <w:r>
        <w:rPr/>
        <w:t>to</w:t>
      </w:r>
      <w:r>
        <w:rPr>
          <w:spacing w:val="-2"/>
        </w:rPr>
        <w:t> </w:t>
      </w:r>
      <w:r>
        <w:rPr/>
        <w:t>the</w:t>
      </w:r>
      <w:r>
        <w:rPr>
          <w:spacing w:val="-3"/>
        </w:rPr>
        <w:t> </w:t>
      </w:r>
      <w:r>
        <w:rPr/>
        <w:t>client. Transmission</w:t>
      </w:r>
      <w:r>
        <w:rPr>
          <w:spacing w:val="-1"/>
        </w:rPr>
        <w:t> </w:t>
      </w:r>
      <w:r>
        <w:rPr/>
        <w:t>of</w:t>
      </w:r>
      <w:r>
        <w:rPr>
          <w:spacing w:val="-1"/>
        </w:rPr>
        <w:t> </w:t>
      </w:r>
      <w:r>
        <w:rPr/>
        <w:t>the</w:t>
      </w:r>
      <w:r>
        <w:rPr>
          <w:spacing w:val="-1"/>
        </w:rPr>
        <w:t> </w:t>
      </w:r>
      <w:r>
        <w:rPr/>
        <w:t>GTC</w:t>
      </w:r>
      <w:r>
        <w:rPr>
          <w:spacing w:val="-1"/>
        </w:rPr>
        <w:t> </w:t>
      </w:r>
      <w:r>
        <w:rPr/>
        <w:t>after</w:t>
      </w:r>
      <w:r>
        <w:rPr>
          <w:spacing w:val="-2"/>
        </w:rPr>
        <w:t> </w:t>
      </w:r>
      <w:r>
        <w:rPr/>
        <w:t>conclusion</w:t>
      </w:r>
      <w:r>
        <w:rPr>
          <w:spacing w:val="-2"/>
        </w:rPr>
        <w:t> </w:t>
      </w:r>
      <w:r>
        <w:rPr/>
        <w:t>of</w:t>
      </w:r>
      <w:r>
        <w:rPr>
          <w:spacing w:val="-3"/>
        </w:rPr>
        <w:t> </w:t>
      </w:r>
      <w:r>
        <w:rPr/>
        <w:t>the contract on invoices, delivery notes or the like is generally ineffective. Disadvantageous, unusual and surprising clauses in the GTC, i.e. clauses that the client need not expect in view of</w:t>
      </w:r>
      <w:r>
        <w:rPr>
          <w:spacing w:val="-1"/>
        </w:rPr>
        <w:t> </w:t>
      </w:r>
      <w:r>
        <w:rPr/>
        <w:t>the</w:t>
      </w:r>
      <w:r>
        <w:rPr>
          <w:spacing w:val="-2"/>
        </w:rPr>
        <w:t> </w:t>
      </w:r>
      <w:r>
        <w:rPr/>
        <w:t>circumstances surrounding the</w:t>
      </w:r>
      <w:r>
        <w:rPr>
          <w:spacing w:val="-2"/>
        </w:rPr>
        <w:t> </w:t>
      </w:r>
      <w:r>
        <w:rPr/>
        <w:t>contract and</w:t>
      </w:r>
      <w:r>
        <w:rPr>
          <w:spacing w:val="-2"/>
        </w:rPr>
        <w:t> </w:t>
      </w:r>
      <w:r>
        <w:rPr/>
        <w:t>the appearance</w:t>
      </w:r>
      <w:r>
        <w:rPr>
          <w:spacing w:val="-1"/>
        </w:rPr>
        <w:t> </w:t>
      </w:r>
      <w:r>
        <w:rPr/>
        <w:t>of the document, shall not become part of the</w:t>
      </w:r>
      <w:r>
        <w:rPr>
          <w:spacing w:val="-1"/>
        </w:rPr>
        <w:t> </w:t>
      </w:r>
      <w:r>
        <w:rPr/>
        <w:t>contract unless</w:t>
      </w:r>
      <w:r>
        <w:rPr>
          <w:spacing w:val="-1"/>
        </w:rPr>
        <w:t> </w:t>
      </w:r>
      <w:r>
        <w:rPr/>
        <w:t>the client has been</w:t>
      </w:r>
      <w:r>
        <w:rPr>
          <w:spacing w:val="-1"/>
        </w:rPr>
        <w:t> </w:t>
      </w:r>
      <w:r>
        <w:rPr/>
        <w:t>expressly (demonstrably) informed of this. Traders who regularly use GTC must display the GTC on the premises used for customer traffic.</w:t>
      </w:r>
    </w:p>
    <w:p>
      <w:pPr>
        <w:pStyle w:val="BodyText"/>
        <w:spacing w:before="6"/>
        <w:rPr>
          <w:sz w:val="26"/>
        </w:rPr>
      </w:pPr>
    </w:p>
    <w:p>
      <w:pPr>
        <w:pStyle w:val="Heading1"/>
      </w:pPr>
      <w:r>
        <w:rPr/>
        <w:t>Data</w:t>
      </w:r>
      <w:r>
        <w:rPr>
          <w:spacing w:val="-6"/>
        </w:rPr>
        <w:t> </w:t>
      </w:r>
      <w:r>
        <w:rPr/>
        <w:t>protection</w:t>
      </w:r>
      <w:r>
        <w:rPr>
          <w:spacing w:val="-5"/>
        </w:rPr>
        <w:t> </w:t>
      </w:r>
      <w:r>
        <w:rPr/>
        <w:t>&amp;</w:t>
      </w:r>
      <w:r>
        <w:rPr>
          <w:spacing w:val="-4"/>
        </w:rPr>
        <w:t> </w:t>
      </w:r>
      <w:r>
        <w:rPr>
          <w:spacing w:val="-2"/>
        </w:rPr>
        <w:t>confidentiality</w:t>
      </w:r>
    </w:p>
    <w:p>
      <w:pPr>
        <w:pStyle w:val="BodyText"/>
        <w:spacing w:before="10"/>
        <w:rPr>
          <w:b/>
          <w:sz w:val="23"/>
        </w:rPr>
      </w:pPr>
    </w:p>
    <w:p>
      <w:pPr>
        <w:pStyle w:val="BodyText"/>
        <w:spacing w:line="276" w:lineRule="auto" w:before="1"/>
        <w:ind w:left="116"/>
      </w:pPr>
      <w:r>
        <w:rPr/>
        <w:t>The</w:t>
      </w:r>
      <w:r>
        <w:rPr>
          <w:spacing w:val="-4"/>
        </w:rPr>
        <w:t> </w:t>
      </w:r>
      <w:r>
        <w:rPr/>
        <w:t>controller,</w:t>
      </w:r>
      <w:r>
        <w:rPr>
          <w:spacing w:val="-3"/>
        </w:rPr>
        <w:t> </w:t>
      </w:r>
      <w:r>
        <w:rPr/>
        <w:t>the</w:t>
      </w:r>
      <w:r>
        <w:rPr>
          <w:spacing w:val="-3"/>
        </w:rPr>
        <w:t> </w:t>
      </w:r>
      <w:r>
        <w:rPr/>
        <w:t>processor</w:t>
      </w:r>
      <w:r>
        <w:rPr>
          <w:spacing w:val="-2"/>
        </w:rPr>
        <w:t> </w:t>
      </w:r>
      <w:r>
        <w:rPr/>
        <w:t>and</w:t>
      </w:r>
      <w:r>
        <w:rPr>
          <w:spacing w:val="-3"/>
        </w:rPr>
        <w:t> </w:t>
      </w:r>
      <w:r>
        <w:rPr/>
        <w:t>their</w:t>
      </w:r>
      <w:r>
        <w:rPr>
          <w:spacing w:val="-5"/>
        </w:rPr>
        <w:t> </w:t>
      </w:r>
      <w:r>
        <w:rPr/>
        <w:t>employees</w:t>
      </w:r>
      <w:r>
        <w:rPr>
          <w:spacing w:val="-3"/>
        </w:rPr>
        <w:t> </w:t>
      </w:r>
      <w:r>
        <w:rPr/>
        <w:t>must</w:t>
      </w:r>
      <w:r>
        <w:rPr>
          <w:spacing w:val="-2"/>
        </w:rPr>
        <w:t> </w:t>
      </w:r>
      <w:r>
        <w:rPr/>
        <w:t>keep</w:t>
      </w:r>
      <w:r>
        <w:rPr>
          <w:spacing w:val="-6"/>
        </w:rPr>
        <w:t> </w:t>
      </w:r>
      <w:r>
        <w:rPr/>
        <w:t>confidential</w:t>
      </w:r>
      <w:r>
        <w:rPr>
          <w:spacing w:val="-2"/>
        </w:rPr>
        <w:t> </w:t>
      </w:r>
      <w:r>
        <w:rPr/>
        <w:t>all</w:t>
      </w:r>
      <w:r>
        <w:rPr>
          <w:spacing w:val="-3"/>
        </w:rPr>
        <w:t> </w:t>
      </w:r>
      <w:r>
        <w:rPr/>
        <w:t>personal</w:t>
      </w:r>
      <w:r>
        <w:rPr>
          <w:spacing w:val="-3"/>
        </w:rPr>
        <w:t> </w:t>
      </w:r>
      <w:r>
        <w:rPr/>
        <w:t>data from data processing that has been entrusted to them or has become accessible to them exclusively on the basis of their professional employment, without prejudice to other statutory confidentiality obligations, unless there is a legally permissible reason for transferring the entrusted or accessible personal data (data secrecy). Employees must be informed of this and of any consequences of a breach.</w:t>
      </w:r>
    </w:p>
    <w:p>
      <w:pPr>
        <w:pStyle w:val="BodyText"/>
        <w:spacing w:before="1"/>
        <w:ind w:left="116"/>
      </w:pPr>
      <w:r>
        <w:rPr/>
        <w:t>It</w:t>
      </w:r>
      <w:r>
        <w:rPr>
          <w:spacing w:val="-5"/>
        </w:rPr>
        <w:t> </w:t>
      </w:r>
      <w:r>
        <w:rPr/>
        <w:t>is</w:t>
      </w:r>
      <w:r>
        <w:rPr>
          <w:spacing w:val="-3"/>
        </w:rPr>
        <w:t> </w:t>
      </w:r>
      <w:r>
        <w:rPr/>
        <w:t>recommended</w:t>
      </w:r>
      <w:r>
        <w:rPr>
          <w:spacing w:val="-4"/>
        </w:rPr>
        <w:t> </w:t>
      </w:r>
      <w:r>
        <w:rPr/>
        <w:t>that</w:t>
      </w:r>
      <w:r>
        <w:rPr>
          <w:spacing w:val="-5"/>
        </w:rPr>
        <w:t> </w:t>
      </w:r>
      <w:r>
        <w:rPr/>
        <w:t>data</w:t>
      </w:r>
      <w:r>
        <w:rPr>
          <w:spacing w:val="-3"/>
        </w:rPr>
        <w:t> </w:t>
      </w:r>
      <w:r>
        <w:rPr/>
        <w:t>protection</w:t>
      </w:r>
      <w:r>
        <w:rPr>
          <w:spacing w:val="-4"/>
        </w:rPr>
        <w:t> </w:t>
      </w:r>
      <w:r>
        <w:rPr/>
        <w:t>clauses</w:t>
      </w:r>
      <w:r>
        <w:rPr>
          <w:spacing w:val="-5"/>
        </w:rPr>
        <w:t> </w:t>
      </w:r>
      <w:r>
        <w:rPr/>
        <w:t>be</w:t>
      </w:r>
      <w:r>
        <w:rPr>
          <w:spacing w:val="-3"/>
        </w:rPr>
        <w:t> </w:t>
      </w:r>
      <w:r>
        <w:rPr/>
        <w:t>included</w:t>
      </w:r>
      <w:r>
        <w:rPr>
          <w:spacing w:val="-4"/>
        </w:rPr>
        <w:t> </w:t>
      </w:r>
      <w:r>
        <w:rPr/>
        <w:t>in</w:t>
      </w:r>
      <w:r>
        <w:rPr>
          <w:spacing w:val="-6"/>
        </w:rPr>
        <w:t> </w:t>
      </w:r>
      <w:r>
        <w:rPr/>
        <w:t>the</w:t>
      </w:r>
      <w:r>
        <w:rPr>
          <w:spacing w:val="-3"/>
        </w:rPr>
        <w:t> </w:t>
      </w:r>
      <w:r>
        <w:rPr>
          <w:spacing w:val="-4"/>
        </w:rPr>
        <w:t>DSE.</w:t>
      </w:r>
    </w:p>
    <w:p>
      <w:pPr>
        <w:pStyle w:val="BodyText"/>
        <w:spacing w:before="8"/>
        <w:rPr>
          <w:sz w:val="30"/>
        </w:rPr>
      </w:pPr>
    </w:p>
    <w:p>
      <w:pPr>
        <w:pStyle w:val="BodyText"/>
        <w:spacing w:line="264" w:lineRule="auto"/>
        <w:ind w:left="116"/>
      </w:pPr>
      <w:r>
        <w:rPr/>
        <w:t>Care must be taken to ensure that any consents under data protection law are obtained properly</w:t>
      </w:r>
      <w:r>
        <w:rPr>
          <w:spacing w:val="-3"/>
        </w:rPr>
        <w:t> </w:t>
      </w:r>
      <w:r>
        <w:rPr/>
        <w:t>and</w:t>
      </w:r>
      <w:r>
        <w:rPr>
          <w:spacing w:val="-3"/>
        </w:rPr>
        <w:t> </w:t>
      </w:r>
      <w:r>
        <w:rPr/>
        <w:t>that</w:t>
      </w:r>
      <w:r>
        <w:rPr>
          <w:spacing w:val="-1"/>
        </w:rPr>
        <w:t> </w:t>
      </w:r>
      <w:r>
        <w:rPr/>
        <w:t>information</w:t>
      </w:r>
      <w:r>
        <w:rPr>
          <w:spacing w:val="-2"/>
        </w:rPr>
        <w:t> </w:t>
      </w:r>
      <w:r>
        <w:rPr/>
        <w:t>obligations</w:t>
      </w:r>
      <w:r>
        <w:rPr>
          <w:spacing w:val="-4"/>
        </w:rPr>
        <w:t> </w:t>
      </w:r>
      <w:r>
        <w:rPr/>
        <w:t>are</w:t>
      </w:r>
      <w:r>
        <w:rPr>
          <w:spacing w:val="-2"/>
        </w:rPr>
        <w:t> </w:t>
      </w:r>
      <w:r>
        <w:rPr/>
        <w:t>fulfilled</w:t>
      </w:r>
      <w:r>
        <w:rPr>
          <w:spacing w:val="-5"/>
        </w:rPr>
        <w:t> </w:t>
      </w:r>
      <w:r>
        <w:rPr/>
        <w:t>in</w:t>
      </w:r>
      <w:r>
        <w:rPr>
          <w:spacing w:val="-3"/>
        </w:rPr>
        <w:t> </w:t>
      </w:r>
      <w:r>
        <w:rPr/>
        <w:t>full</w:t>
      </w:r>
      <w:r>
        <w:rPr>
          <w:spacing w:val="-3"/>
        </w:rPr>
        <w:t> </w:t>
      </w:r>
      <w:r>
        <w:rPr/>
        <w:t>and</w:t>
      </w:r>
      <w:r>
        <w:rPr>
          <w:spacing w:val="-3"/>
        </w:rPr>
        <w:t> </w:t>
      </w:r>
      <w:r>
        <w:rPr/>
        <w:t>in</w:t>
      </w:r>
      <w:r>
        <w:rPr>
          <w:spacing w:val="-3"/>
        </w:rPr>
        <w:t> </w:t>
      </w:r>
      <w:r>
        <w:rPr/>
        <w:t>good</w:t>
      </w:r>
      <w:r>
        <w:rPr>
          <w:spacing w:val="-3"/>
        </w:rPr>
        <w:t> </w:t>
      </w:r>
      <w:r>
        <w:rPr/>
        <w:t>time.</w:t>
      </w:r>
      <w:r>
        <w:rPr>
          <w:spacing w:val="-2"/>
        </w:rPr>
        <w:t> </w:t>
      </w:r>
      <w:r>
        <w:rPr/>
        <w:t>In</w:t>
      </w:r>
      <w:r>
        <w:rPr>
          <w:spacing w:val="-3"/>
        </w:rPr>
        <w:t> </w:t>
      </w:r>
      <w:r>
        <w:rPr/>
        <w:t>addition,</w:t>
      </w:r>
    </w:p>
    <w:p>
      <w:pPr>
        <w:spacing w:after="0" w:line="264" w:lineRule="auto"/>
        <w:sectPr>
          <w:pgSz w:w="11900" w:h="16850"/>
          <w:pgMar w:header="452" w:footer="0" w:top="1320" w:bottom="280" w:left="1300" w:right="1300"/>
        </w:sectPr>
      </w:pPr>
    </w:p>
    <w:p>
      <w:pPr>
        <w:pStyle w:val="BodyText"/>
        <w:spacing w:line="264" w:lineRule="auto" w:before="117"/>
        <w:ind w:left="116" w:right="108"/>
      </w:pPr>
      <w:r>
        <w:rPr/>
        <w:t>an order processing contract must be concluded if data is processed for the customer as part of</w:t>
      </w:r>
      <w:r>
        <w:rPr>
          <w:spacing w:val="-4"/>
        </w:rPr>
        <w:t> </w:t>
      </w:r>
      <w:r>
        <w:rPr/>
        <w:t>the</w:t>
      </w:r>
      <w:r>
        <w:rPr>
          <w:spacing w:val="-2"/>
        </w:rPr>
        <w:t> </w:t>
      </w:r>
      <w:r>
        <w:rPr/>
        <w:t>order</w:t>
      </w:r>
      <w:r>
        <w:rPr>
          <w:spacing w:val="-4"/>
        </w:rPr>
        <w:t> </w:t>
      </w:r>
      <w:r>
        <w:rPr/>
        <w:t>(which</w:t>
      </w:r>
      <w:r>
        <w:rPr>
          <w:spacing w:val="-4"/>
        </w:rPr>
        <w:t> </w:t>
      </w:r>
      <w:r>
        <w:rPr/>
        <w:t>can</w:t>
      </w:r>
      <w:r>
        <w:rPr>
          <w:spacing w:val="-2"/>
        </w:rPr>
        <w:t> </w:t>
      </w:r>
      <w:r>
        <w:rPr/>
        <w:t>be</w:t>
      </w:r>
      <w:r>
        <w:rPr>
          <w:spacing w:val="-2"/>
        </w:rPr>
        <w:t> </w:t>
      </w:r>
      <w:r>
        <w:rPr/>
        <w:t>assumed</w:t>
      </w:r>
      <w:r>
        <w:rPr>
          <w:spacing w:val="-3"/>
        </w:rPr>
        <w:t> </w:t>
      </w:r>
      <w:r>
        <w:rPr/>
        <w:t>in</w:t>
      </w:r>
      <w:r>
        <w:rPr>
          <w:spacing w:val="-5"/>
        </w:rPr>
        <w:t> </w:t>
      </w:r>
      <w:r>
        <w:rPr/>
        <w:t>this</w:t>
      </w:r>
      <w:r>
        <w:rPr>
          <w:spacing w:val="-2"/>
        </w:rPr>
        <w:t> </w:t>
      </w:r>
      <w:r>
        <w:rPr/>
        <w:t>sector). Samples</w:t>
      </w:r>
      <w:r>
        <w:rPr>
          <w:spacing w:val="-3"/>
        </w:rPr>
        <w:t> </w:t>
      </w:r>
      <w:r>
        <w:rPr/>
        <w:t>and</w:t>
      </w:r>
      <w:r>
        <w:rPr>
          <w:spacing w:val="-2"/>
        </w:rPr>
        <w:t> </w:t>
      </w:r>
      <w:r>
        <w:rPr/>
        <w:t>further</w:t>
      </w:r>
      <w:r>
        <w:rPr>
          <w:spacing w:val="-1"/>
        </w:rPr>
        <w:t> </w:t>
      </w:r>
      <w:r>
        <w:rPr/>
        <w:t>details</w:t>
      </w:r>
      <w:r>
        <w:rPr>
          <w:spacing w:val="-4"/>
        </w:rPr>
        <w:t> </w:t>
      </w:r>
      <w:r>
        <w:rPr/>
        <w:t>can</w:t>
      </w:r>
      <w:r>
        <w:rPr>
          <w:spacing w:val="-2"/>
        </w:rPr>
        <w:t> </w:t>
      </w:r>
      <w:r>
        <w:rPr/>
        <w:t>be found at: </w:t>
      </w:r>
      <w:hyperlink r:id="rId8">
        <w:r>
          <w:rPr/>
          <w:t>www.wko.at/datenschutz</w:t>
        </w:r>
      </w:hyperlink>
      <w:r>
        <w:rPr/>
        <w:t> or at </w:t>
      </w:r>
      <w:hyperlink r:id="rId7">
        <w:r>
          <w:rPr/>
          <w:t>www.ubit.at.</w:t>
        </w:r>
      </w:hyperlink>
    </w:p>
    <w:p>
      <w:pPr>
        <w:pStyle w:val="BodyText"/>
        <w:spacing w:before="8"/>
        <w:rPr>
          <w:sz w:val="21"/>
        </w:rPr>
      </w:pPr>
    </w:p>
    <w:p>
      <w:pPr>
        <w:pStyle w:val="BodyText"/>
        <w:spacing w:line="276" w:lineRule="auto"/>
        <w:ind w:left="116" w:right="170"/>
      </w:pPr>
      <w:r>
        <w:rPr>
          <w:u w:val="single"/>
        </w:rPr>
        <w:t>Please note: In </w:t>
      </w:r>
      <w:r>
        <w:rPr/>
        <w:t>accordance with the nature of the contract for work and services, the contractor is entitled to be represented by other independent third parties in the production</w:t>
      </w:r>
      <w:r>
        <w:rPr>
          <w:spacing w:val="-2"/>
        </w:rPr>
        <w:t> </w:t>
      </w:r>
      <w:r>
        <w:rPr/>
        <w:t>of</w:t>
      </w:r>
      <w:r>
        <w:rPr>
          <w:spacing w:val="-4"/>
        </w:rPr>
        <w:t> </w:t>
      </w:r>
      <w:r>
        <w:rPr/>
        <w:t>the</w:t>
      </w:r>
      <w:r>
        <w:rPr>
          <w:spacing w:val="-5"/>
        </w:rPr>
        <w:t> </w:t>
      </w:r>
      <w:r>
        <w:rPr/>
        <w:t>work.</w:t>
      </w:r>
      <w:r>
        <w:rPr>
          <w:spacing w:val="-5"/>
        </w:rPr>
        <w:t> </w:t>
      </w:r>
      <w:r>
        <w:rPr/>
        <w:t>This</w:t>
      </w:r>
      <w:r>
        <w:rPr>
          <w:spacing w:val="-2"/>
        </w:rPr>
        <w:t> </w:t>
      </w:r>
      <w:r>
        <w:rPr/>
        <w:t>is</w:t>
      </w:r>
      <w:r>
        <w:rPr>
          <w:spacing w:val="-2"/>
        </w:rPr>
        <w:t> </w:t>
      </w:r>
      <w:r>
        <w:rPr/>
        <w:t>to</w:t>
      </w:r>
      <w:r>
        <w:rPr>
          <w:spacing w:val="-3"/>
        </w:rPr>
        <w:t> </w:t>
      </w:r>
      <w:r>
        <w:rPr/>
        <w:t>be</w:t>
      </w:r>
      <w:r>
        <w:rPr>
          <w:spacing w:val="-2"/>
        </w:rPr>
        <w:t> </w:t>
      </w:r>
      <w:r>
        <w:rPr/>
        <w:t>distinguished</w:t>
      </w:r>
      <w:r>
        <w:rPr>
          <w:spacing w:val="-1"/>
        </w:rPr>
        <w:t> </w:t>
      </w:r>
      <w:r>
        <w:rPr/>
        <w:t>from</w:t>
      </w:r>
      <w:r>
        <w:rPr>
          <w:spacing w:val="-5"/>
        </w:rPr>
        <w:t> </w:t>
      </w:r>
      <w:r>
        <w:rPr/>
        <w:t>the</w:t>
      </w:r>
      <w:r>
        <w:rPr>
          <w:spacing w:val="-2"/>
        </w:rPr>
        <w:t> </w:t>
      </w:r>
      <w:r>
        <w:rPr/>
        <w:t>utilisation</w:t>
      </w:r>
      <w:r>
        <w:rPr>
          <w:spacing w:val="-2"/>
        </w:rPr>
        <w:t> </w:t>
      </w:r>
      <w:r>
        <w:rPr/>
        <w:t>of</w:t>
      </w:r>
      <w:r>
        <w:rPr>
          <w:spacing w:val="-6"/>
        </w:rPr>
        <w:t> </w:t>
      </w:r>
      <w:r>
        <w:rPr/>
        <w:t>the</w:t>
      </w:r>
      <w:r>
        <w:rPr>
          <w:spacing w:val="-5"/>
        </w:rPr>
        <w:t> </w:t>
      </w:r>
      <w:r>
        <w:rPr/>
        <w:t>contractor's own auxiliary persons (e.g. employees of the contractor).</w:t>
      </w:r>
    </w:p>
    <w:p>
      <w:pPr>
        <w:pStyle w:val="BodyText"/>
        <w:spacing w:line="276" w:lineRule="auto" w:before="1"/>
        <w:ind w:left="116" w:right="170"/>
      </w:pPr>
      <w:r>
        <w:rPr/>
        <w:t>In</w:t>
      </w:r>
      <w:r>
        <w:rPr>
          <w:spacing w:val="-2"/>
        </w:rPr>
        <w:t> </w:t>
      </w:r>
      <w:r>
        <w:rPr/>
        <w:t>terms</w:t>
      </w:r>
      <w:r>
        <w:rPr>
          <w:spacing w:val="-2"/>
        </w:rPr>
        <w:t> </w:t>
      </w:r>
      <w:r>
        <w:rPr/>
        <w:t>of</w:t>
      </w:r>
      <w:r>
        <w:rPr>
          <w:spacing w:val="-2"/>
        </w:rPr>
        <w:t> </w:t>
      </w:r>
      <w:r>
        <w:rPr/>
        <w:t>data</w:t>
      </w:r>
      <w:r>
        <w:rPr>
          <w:spacing w:val="-2"/>
        </w:rPr>
        <w:t> </w:t>
      </w:r>
      <w:r>
        <w:rPr/>
        <w:t>protection</w:t>
      </w:r>
      <w:r>
        <w:rPr>
          <w:spacing w:val="-1"/>
        </w:rPr>
        <w:t> </w:t>
      </w:r>
      <w:r>
        <w:rPr/>
        <w:t>law,</w:t>
      </w:r>
      <w:r>
        <w:rPr>
          <w:spacing w:val="-1"/>
        </w:rPr>
        <w:t> </w:t>
      </w:r>
      <w:r>
        <w:rPr/>
        <w:t>however,</w:t>
      </w:r>
      <w:r>
        <w:rPr>
          <w:spacing w:val="-1"/>
        </w:rPr>
        <w:t> </w:t>
      </w:r>
      <w:r>
        <w:rPr/>
        <w:t>if</w:t>
      </w:r>
      <w:r>
        <w:rPr>
          <w:spacing w:val="-2"/>
        </w:rPr>
        <w:t> </w:t>
      </w:r>
      <w:r>
        <w:rPr/>
        <w:t>you</w:t>
      </w:r>
      <w:r>
        <w:rPr>
          <w:spacing w:val="-4"/>
        </w:rPr>
        <w:t> </w:t>
      </w:r>
      <w:r>
        <w:rPr/>
        <w:t>wish</w:t>
      </w:r>
      <w:r>
        <w:rPr>
          <w:spacing w:val="-2"/>
        </w:rPr>
        <w:t> </w:t>
      </w:r>
      <w:r>
        <w:rPr/>
        <w:t>to</w:t>
      </w:r>
      <w:r>
        <w:rPr>
          <w:spacing w:val="-5"/>
        </w:rPr>
        <w:t> </w:t>
      </w:r>
      <w:r>
        <w:rPr/>
        <w:t>pass</w:t>
      </w:r>
      <w:r>
        <w:rPr>
          <w:spacing w:val="-3"/>
        </w:rPr>
        <w:t> </w:t>
      </w:r>
      <w:r>
        <w:rPr/>
        <w:t>on</w:t>
      </w:r>
      <w:r>
        <w:rPr>
          <w:spacing w:val="-2"/>
        </w:rPr>
        <w:t> </w:t>
      </w:r>
      <w:r>
        <w:rPr/>
        <w:t>data</w:t>
      </w:r>
      <w:r>
        <w:rPr>
          <w:spacing w:val="-4"/>
        </w:rPr>
        <w:t> </w:t>
      </w:r>
      <w:r>
        <w:rPr/>
        <w:t>to</w:t>
      </w:r>
      <w:r>
        <w:rPr>
          <w:spacing w:val="-2"/>
        </w:rPr>
        <w:t> </w:t>
      </w:r>
      <w:r>
        <w:rPr/>
        <w:t>a</w:t>
      </w:r>
      <w:r>
        <w:rPr>
          <w:spacing w:val="-5"/>
        </w:rPr>
        <w:t> </w:t>
      </w:r>
      <w:r>
        <w:rPr/>
        <w:t>sub-processor</w:t>
      </w:r>
      <w:r>
        <w:rPr>
          <w:spacing w:val="-1"/>
        </w:rPr>
        <w:t> </w:t>
      </w:r>
      <w:r>
        <w:rPr/>
        <w:t>as part of the order, you must have agreed this transfer with the client. This is either regulated in the processor contract or in a separate agreement.</w:t>
      </w:r>
    </w:p>
    <w:p>
      <w:pPr>
        <w:pStyle w:val="BodyText"/>
        <w:spacing w:before="2"/>
        <w:rPr>
          <w:sz w:val="25"/>
        </w:rPr>
      </w:pPr>
    </w:p>
    <w:p>
      <w:pPr>
        <w:pStyle w:val="Heading1"/>
      </w:pPr>
      <w:r>
        <w:rPr/>
        <w:t>Accessibility</w:t>
      </w:r>
      <w:r>
        <w:rPr>
          <w:spacing w:val="-10"/>
        </w:rPr>
        <w:t> </w:t>
      </w:r>
      <w:r>
        <w:rPr/>
        <w:t>Act</w:t>
      </w:r>
      <w:r>
        <w:rPr>
          <w:spacing w:val="-7"/>
        </w:rPr>
        <w:t> </w:t>
      </w:r>
      <w:r>
        <w:rPr>
          <w:spacing w:val="-4"/>
        </w:rPr>
        <w:t>BaFG</w:t>
      </w:r>
    </w:p>
    <w:p>
      <w:pPr>
        <w:pStyle w:val="BodyText"/>
        <w:spacing w:line="276" w:lineRule="auto" w:before="40"/>
        <w:ind w:left="116" w:right="108"/>
      </w:pPr>
      <w:r>
        <w:rPr/>
        <w:t>With the entry into force of the BaFG, the barrier-free design after 28 June 2025 will be included in the normally required characteristics of products and/or services that fall within</w:t>
      </w:r>
      <w:r>
        <w:rPr>
          <w:spacing w:val="-4"/>
        </w:rPr>
        <w:t> </w:t>
      </w:r>
      <w:r>
        <w:rPr/>
        <w:t>the</w:t>
      </w:r>
      <w:r>
        <w:rPr>
          <w:spacing w:val="-2"/>
        </w:rPr>
        <w:t> </w:t>
      </w:r>
      <w:r>
        <w:rPr/>
        <w:t>scope</w:t>
      </w:r>
      <w:r>
        <w:rPr>
          <w:spacing w:val="-2"/>
        </w:rPr>
        <w:t> </w:t>
      </w:r>
      <w:r>
        <w:rPr/>
        <w:t>of</w:t>
      </w:r>
      <w:r>
        <w:rPr>
          <w:spacing w:val="-4"/>
        </w:rPr>
        <w:t> </w:t>
      </w:r>
      <w:r>
        <w:rPr/>
        <w:t>the</w:t>
      </w:r>
      <w:r>
        <w:rPr>
          <w:spacing w:val="-4"/>
        </w:rPr>
        <w:t> </w:t>
      </w:r>
      <w:r>
        <w:rPr/>
        <w:t>BaFG.</w:t>
      </w:r>
      <w:r>
        <w:rPr>
          <w:spacing w:val="-1"/>
        </w:rPr>
        <w:t> </w:t>
      </w:r>
      <w:r>
        <w:rPr/>
        <w:t>Although</w:t>
      </w:r>
      <w:r>
        <w:rPr>
          <w:spacing w:val="-2"/>
        </w:rPr>
        <w:t> </w:t>
      </w:r>
      <w:r>
        <w:rPr/>
        <w:t>service</w:t>
      </w:r>
      <w:r>
        <w:rPr>
          <w:spacing w:val="-3"/>
        </w:rPr>
        <w:t> </w:t>
      </w:r>
      <w:r>
        <w:rPr/>
        <w:t>contracts</w:t>
      </w:r>
      <w:r>
        <w:rPr>
          <w:spacing w:val="-4"/>
        </w:rPr>
        <w:t> </w:t>
      </w:r>
      <w:r>
        <w:rPr/>
        <w:t>already</w:t>
      </w:r>
      <w:r>
        <w:rPr>
          <w:spacing w:val="-3"/>
        </w:rPr>
        <w:t> </w:t>
      </w:r>
      <w:r>
        <w:rPr/>
        <w:t>concluded</w:t>
      </w:r>
      <w:r>
        <w:rPr>
          <w:spacing w:val="-1"/>
        </w:rPr>
        <w:t> </w:t>
      </w:r>
      <w:r>
        <w:rPr/>
        <w:t>before</w:t>
      </w:r>
      <w:r>
        <w:rPr>
          <w:spacing w:val="-1"/>
        </w:rPr>
        <w:t> </w:t>
      </w:r>
      <w:r>
        <w:rPr/>
        <w:t>28</w:t>
      </w:r>
      <w:r>
        <w:rPr>
          <w:spacing w:val="-2"/>
        </w:rPr>
        <w:t> </w:t>
      </w:r>
      <w:r>
        <w:rPr/>
        <w:t>June 2025 may continue unchanged until their expiry, even if they are not barrier-free, this transitional period ends on 28 June 2030. Until then, the contracting parties must either adapt their existing contracts to the accessibility requirements of the BaFG through amendments or terminate them.</w:t>
      </w:r>
    </w:p>
    <w:p>
      <w:pPr>
        <w:pStyle w:val="BodyText"/>
        <w:spacing w:before="3"/>
        <w:rPr>
          <w:sz w:val="26"/>
        </w:rPr>
      </w:pPr>
    </w:p>
    <w:p>
      <w:pPr>
        <w:pStyle w:val="Heading1"/>
      </w:pPr>
      <w:r>
        <w:rPr>
          <w:spacing w:val="-2"/>
        </w:rPr>
        <w:t>Miscellaneous</w:t>
      </w:r>
    </w:p>
    <w:p>
      <w:pPr>
        <w:pStyle w:val="BodyText"/>
        <w:spacing w:before="1"/>
        <w:rPr>
          <w:b/>
          <w:sz w:val="24"/>
        </w:rPr>
      </w:pPr>
    </w:p>
    <w:p>
      <w:pPr>
        <w:pStyle w:val="BodyText"/>
        <w:spacing w:before="1"/>
        <w:ind w:left="116"/>
      </w:pPr>
      <w:r>
        <w:rPr/>
        <w:t>The</w:t>
      </w:r>
      <w:r>
        <w:rPr>
          <w:spacing w:val="-8"/>
        </w:rPr>
        <w:t> </w:t>
      </w:r>
      <w:r>
        <w:rPr/>
        <w:t>place</w:t>
      </w:r>
      <w:r>
        <w:rPr>
          <w:spacing w:val="-5"/>
        </w:rPr>
        <w:t> </w:t>
      </w:r>
      <w:r>
        <w:rPr/>
        <w:t>of</w:t>
      </w:r>
      <w:r>
        <w:rPr>
          <w:spacing w:val="-4"/>
        </w:rPr>
        <w:t> </w:t>
      </w:r>
      <w:r>
        <w:rPr/>
        <w:t>jurisdiction</w:t>
      </w:r>
      <w:r>
        <w:rPr>
          <w:spacing w:val="-4"/>
        </w:rPr>
        <w:t> </w:t>
      </w:r>
      <w:r>
        <w:rPr/>
        <w:t>shall</w:t>
      </w:r>
      <w:r>
        <w:rPr>
          <w:spacing w:val="-5"/>
        </w:rPr>
        <w:t> </w:t>
      </w:r>
      <w:r>
        <w:rPr/>
        <w:t>again</w:t>
      </w:r>
      <w:r>
        <w:rPr>
          <w:spacing w:val="-5"/>
        </w:rPr>
        <w:t> </w:t>
      </w:r>
      <w:r>
        <w:rPr/>
        <w:t>be</w:t>
      </w:r>
      <w:r>
        <w:rPr>
          <w:spacing w:val="-5"/>
        </w:rPr>
        <w:t> </w:t>
      </w:r>
      <w:r>
        <w:rPr/>
        <w:t>explicitly</w:t>
      </w:r>
      <w:r>
        <w:rPr>
          <w:spacing w:val="-6"/>
        </w:rPr>
        <w:t> </w:t>
      </w:r>
      <w:r>
        <w:rPr/>
        <w:t>specified</w:t>
      </w:r>
      <w:r>
        <w:rPr>
          <w:spacing w:val="-5"/>
        </w:rPr>
        <w:t> </w:t>
      </w:r>
      <w:r>
        <w:rPr/>
        <w:t>in</w:t>
      </w:r>
      <w:r>
        <w:rPr>
          <w:spacing w:val="-7"/>
        </w:rPr>
        <w:t> </w:t>
      </w:r>
      <w:r>
        <w:rPr/>
        <w:t>the</w:t>
      </w:r>
      <w:r>
        <w:rPr>
          <w:spacing w:val="-8"/>
        </w:rPr>
        <w:t> </w:t>
      </w:r>
      <w:r>
        <w:rPr/>
        <w:t>contractual</w:t>
      </w:r>
      <w:r>
        <w:rPr>
          <w:spacing w:val="-2"/>
        </w:rPr>
        <w:t> agreement</w:t>
      </w:r>
    </w:p>
    <w:p>
      <w:pPr>
        <w:pStyle w:val="BodyText"/>
        <w:spacing w:before="37"/>
        <w:ind w:left="116"/>
      </w:pPr>
      <w:r>
        <w:rPr/>
        <w:t>with</w:t>
      </w:r>
      <w:r>
        <w:rPr>
          <w:spacing w:val="-5"/>
        </w:rPr>
        <w:t> </w:t>
      </w:r>
      <w:r>
        <w:rPr/>
        <w:t>the</w:t>
      </w:r>
      <w:r>
        <w:rPr>
          <w:spacing w:val="-3"/>
        </w:rPr>
        <w:t> </w:t>
      </w:r>
      <w:r>
        <w:rPr>
          <w:spacing w:val="-2"/>
        </w:rPr>
        <w:t>customer.</w:t>
      </w:r>
    </w:p>
    <w:p>
      <w:pPr>
        <w:pStyle w:val="BodyText"/>
        <w:spacing w:before="7"/>
        <w:rPr>
          <w:sz w:val="28"/>
        </w:rPr>
      </w:pPr>
    </w:p>
    <w:p>
      <w:pPr>
        <w:spacing w:before="0"/>
        <w:ind w:left="116" w:right="0" w:firstLine="0"/>
        <w:jc w:val="left"/>
        <w:rPr>
          <w:i/>
          <w:sz w:val="18"/>
        </w:rPr>
      </w:pPr>
      <w:r>
        <w:rPr>
          <w:i/>
          <w:spacing w:val="-2"/>
          <w:sz w:val="18"/>
          <w:u w:val="single"/>
        </w:rPr>
        <w:t>Note:</w:t>
      </w:r>
    </w:p>
    <w:p>
      <w:pPr>
        <w:spacing w:line="276" w:lineRule="auto" w:before="31"/>
        <w:ind w:left="116" w:right="212" w:firstLine="0"/>
        <w:jc w:val="left"/>
        <w:rPr>
          <w:i/>
          <w:sz w:val="18"/>
        </w:rPr>
      </w:pPr>
      <w:r>
        <w:rPr>
          <w:i/>
          <w:sz w:val="18"/>
        </w:rPr>
        <w:t>We</w:t>
      </w:r>
      <w:r>
        <w:rPr>
          <w:i/>
          <w:spacing w:val="-3"/>
          <w:sz w:val="18"/>
        </w:rPr>
        <w:t> </w:t>
      </w:r>
      <w:r>
        <w:rPr>
          <w:i/>
          <w:sz w:val="18"/>
        </w:rPr>
        <w:t>would</w:t>
      </w:r>
      <w:r>
        <w:rPr>
          <w:i/>
          <w:spacing w:val="-2"/>
          <w:sz w:val="18"/>
        </w:rPr>
        <w:t> </w:t>
      </w:r>
      <w:r>
        <w:rPr>
          <w:i/>
          <w:sz w:val="18"/>
        </w:rPr>
        <w:t>like</w:t>
      </w:r>
      <w:r>
        <w:rPr>
          <w:i/>
          <w:spacing w:val="-5"/>
          <w:sz w:val="18"/>
        </w:rPr>
        <w:t> </w:t>
      </w:r>
      <w:r>
        <w:rPr>
          <w:i/>
          <w:sz w:val="18"/>
        </w:rPr>
        <w:t>to</w:t>
      </w:r>
      <w:r>
        <w:rPr>
          <w:i/>
          <w:spacing w:val="-3"/>
          <w:sz w:val="18"/>
        </w:rPr>
        <w:t> </w:t>
      </w:r>
      <w:r>
        <w:rPr>
          <w:i/>
          <w:sz w:val="18"/>
        </w:rPr>
        <w:t>point</w:t>
      </w:r>
      <w:r>
        <w:rPr>
          <w:i/>
          <w:spacing w:val="-3"/>
          <w:sz w:val="18"/>
        </w:rPr>
        <w:t> </w:t>
      </w:r>
      <w:r>
        <w:rPr>
          <w:i/>
          <w:sz w:val="18"/>
        </w:rPr>
        <w:t>out</w:t>
      </w:r>
      <w:r>
        <w:rPr>
          <w:i/>
          <w:spacing w:val="-3"/>
          <w:sz w:val="18"/>
        </w:rPr>
        <w:t> </w:t>
      </w:r>
      <w:r>
        <w:rPr>
          <w:i/>
          <w:sz w:val="18"/>
        </w:rPr>
        <w:t>that</w:t>
      </w:r>
      <w:r>
        <w:rPr>
          <w:i/>
          <w:spacing w:val="-1"/>
          <w:sz w:val="18"/>
        </w:rPr>
        <w:t> </w:t>
      </w:r>
      <w:r>
        <w:rPr>
          <w:i/>
          <w:sz w:val="18"/>
        </w:rPr>
        <w:t>the</w:t>
      </w:r>
      <w:r>
        <w:rPr>
          <w:i/>
          <w:spacing w:val="-3"/>
          <w:sz w:val="18"/>
        </w:rPr>
        <w:t> </w:t>
      </w:r>
      <w:r>
        <w:rPr>
          <w:i/>
          <w:sz w:val="18"/>
        </w:rPr>
        <w:t>masculine</w:t>
      </w:r>
      <w:r>
        <w:rPr>
          <w:i/>
          <w:spacing w:val="-3"/>
          <w:sz w:val="18"/>
        </w:rPr>
        <w:t> </w:t>
      </w:r>
      <w:r>
        <w:rPr>
          <w:i/>
          <w:sz w:val="18"/>
        </w:rPr>
        <w:t>form</w:t>
      </w:r>
      <w:r>
        <w:rPr>
          <w:i/>
          <w:spacing w:val="-3"/>
          <w:sz w:val="18"/>
        </w:rPr>
        <w:t> </w:t>
      </w:r>
      <w:r>
        <w:rPr>
          <w:i/>
          <w:sz w:val="18"/>
        </w:rPr>
        <w:t>is</w:t>
      </w:r>
      <w:r>
        <w:rPr>
          <w:i/>
          <w:spacing w:val="-3"/>
          <w:sz w:val="18"/>
        </w:rPr>
        <w:t> </w:t>
      </w:r>
      <w:r>
        <w:rPr>
          <w:i/>
          <w:sz w:val="18"/>
        </w:rPr>
        <w:t>used</w:t>
      </w:r>
      <w:r>
        <w:rPr>
          <w:i/>
          <w:spacing w:val="-4"/>
          <w:sz w:val="18"/>
        </w:rPr>
        <w:t> </w:t>
      </w:r>
      <w:r>
        <w:rPr>
          <w:i/>
          <w:sz w:val="18"/>
        </w:rPr>
        <w:t>on</w:t>
      </w:r>
      <w:r>
        <w:rPr>
          <w:i/>
          <w:spacing w:val="-2"/>
          <w:sz w:val="18"/>
        </w:rPr>
        <w:t> </w:t>
      </w:r>
      <w:r>
        <w:rPr>
          <w:i/>
          <w:sz w:val="18"/>
        </w:rPr>
        <w:t>these</w:t>
      </w:r>
      <w:r>
        <w:rPr>
          <w:i/>
          <w:spacing w:val="-3"/>
          <w:sz w:val="18"/>
        </w:rPr>
        <w:t> </w:t>
      </w:r>
      <w:r>
        <w:rPr>
          <w:i/>
          <w:sz w:val="18"/>
        </w:rPr>
        <w:t>pages</w:t>
      </w:r>
      <w:r>
        <w:rPr>
          <w:i/>
          <w:spacing w:val="-3"/>
          <w:sz w:val="18"/>
        </w:rPr>
        <w:t> </w:t>
      </w:r>
      <w:r>
        <w:rPr>
          <w:i/>
          <w:sz w:val="18"/>
        </w:rPr>
        <w:t>for</w:t>
      </w:r>
      <w:r>
        <w:rPr>
          <w:i/>
          <w:spacing w:val="-3"/>
          <w:sz w:val="18"/>
        </w:rPr>
        <w:t> </w:t>
      </w:r>
      <w:r>
        <w:rPr>
          <w:i/>
          <w:sz w:val="18"/>
        </w:rPr>
        <w:t>reasons</w:t>
      </w:r>
      <w:r>
        <w:rPr>
          <w:i/>
          <w:spacing w:val="-3"/>
          <w:sz w:val="18"/>
        </w:rPr>
        <w:t> </w:t>
      </w:r>
      <w:r>
        <w:rPr>
          <w:i/>
          <w:sz w:val="18"/>
        </w:rPr>
        <w:t>of easier</w:t>
      </w:r>
      <w:r>
        <w:rPr>
          <w:i/>
          <w:spacing w:val="-3"/>
          <w:sz w:val="18"/>
        </w:rPr>
        <w:t> </w:t>
      </w:r>
      <w:r>
        <w:rPr>
          <w:i/>
          <w:sz w:val="18"/>
        </w:rPr>
        <w:t>readability.</w:t>
      </w:r>
      <w:r>
        <w:rPr>
          <w:i/>
          <w:sz w:val="18"/>
        </w:rPr>
        <w:t> All statements equally apply to the female form.</w:t>
      </w:r>
    </w:p>
    <w:sectPr>
      <w:pgSz w:w="11900" w:h="16850"/>
      <w:pgMar w:header="452" w:footer="0" w:top="132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18720">
          <wp:simplePos x="0" y="0"/>
          <wp:positionH relativeFrom="page">
            <wp:posOffset>5499734</wp:posOffset>
          </wp:positionH>
          <wp:positionV relativeFrom="page">
            <wp:posOffset>286968</wp:posOffset>
          </wp:positionV>
          <wp:extent cx="1583689" cy="53268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583689" cy="53268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6" w:hanging="360"/>
        <w:jc w:val="left"/>
      </w:pPr>
      <w:rPr>
        <w:rFonts w:hint="default" w:ascii="Trebuchet MS" w:hAnsi="Trebuchet MS" w:eastAsia="Trebuchet MS" w:cs="Trebuchet MS"/>
        <w:b w:val="0"/>
        <w:bCs w:val="0"/>
        <w:i w:val="0"/>
        <w:iCs w:val="0"/>
        <w:spacing w:val="-1"/>
        <w:w w:val="100"/>
        <w:sz w:val="22"/>
        <w:szCs w:val="22"/>
        <w:lang w:val="en-US" w:eastAsia="en-US" w:bidi="ar-SA"/>
      </w:rPr>
    </w:lvl>
    <w:lvl w:ilvl="1">
      <w:start w:val="0"/>
      <w:numFmt w:val="bullet"/>
      <w:lvlText w:val="-"/>
      <w:lvlJc w:val="left"/>
      <w:pPr>
        <w:ind w:left="836" w:hanging="360"/>
      </w:pPr>
      <w:rPr>
        <w:rFonts w:hint="default" w:ascii="Trebuchet MS" w:hAnsi="Trebuchet MS" w:eastAsia="Trebuchet MS" w:cs="Trebuchet MS"/>
        <w:b w:val="0"/>
        <w:bCs w:val="0"/>
        <w:i w:val="0"/>
        <w:iCs w:val="0"/>
        <w:spacing w:val="0"/>
        <w:w w:val="100"/>
        <w:sz w:val="22"/>
        <w:szCs w:val="22"/>
        <w:lang w:val="en-US" w:eastAsia="en-US" w:bidi="ar-SA"/>
      </w:rPr>
    </w:lvl>
    <w:lvl w:ilvl="2">
      <w:start w:val="0"/>
      <w:numFmt w:val="bullet"/>
      <w:lvlText w:val="•"/>
      <w:lvlJc w:val="left"/>
      <w:pPr>
        <w:ind w:left="2531" w:hanging="360"/>
      </w:pPr>
      <w:rPr>
        <w:rFonts w:hint="default"/>
        <w:lang w:val="en-US" w:eastAsia="en-US" w:bidi="ar-SA"/>
      </w:rPr>
    </w:lvl>
    <w:lvl w:ilvl="3">
      <w:start w:val="0"/>
      <w:numFmt w:val="bullet"/>
      <w:lvlText w:val="•"/>
      <w:lvlJc w:val="left"/>
      <w:pPr>
        <w:ind w:left="3377" w:hanging="360"/>
      </w:pPr>
      <w:rPr>
        <w:rFonts w:hint="default"/>
        <w:lang w:val="en-US" w:eastAsia="en-US" w:bidi="ar-SA"/>
      </w:rPr>
    </w:lvl>
    <w:lvl w:ilvl="4">
      <w:start w:val="0"/>
      <w:numFmt w:val="bullet"/>
      <w:lvlText w:val="•"/>
      <w:lvlJc w:val="left"/>
      <w:pPr>
        <w:ind w:left="4223" w:hanging="360"/>
      </w:pPr>
      <w:rPr>
        <w:rFonts w:hint="default"/>
        <w:lang w:val="en-US" w:eastAsia="en-US" w:bidi="ar-SA"/>
      </w:rPr>
    </w:lvl>
    <w:lvl w:ilvl="5">
      <w:start w:val="0"/>
      <w:numFmt w:val="bullet"/>
      <w:lvlText w:val="•"/>
      <w:lvlJc w:val="left"/>
      <w:pPr>
        <w:ind w:left="5069" w:hanging="360"/>
      </w:pPr>
      <w:rPr>
        <w:rFonts w:hint="default"/>
        <w:lang w:val="en-US" w:eastAsia="en-US" w:bidi="ar-SA"/>
      </w:rPr>
    </w:lvl>
    <w:lvl w:ilvl="6">
      <w:start w:val="0"/>
      <w:numFmt w:val="bullet"/>
      <w:lvlText w:val="•"/>
      <w:lvlJc w:val="left"/>
      <w:pPr>
        <w:ind w:left="5915" w:hanging="360"/>
      </w:pPr>
      <w:rPr>
        <w:rFonts w:hint="default"/>
        <w:lang w:val="en-US" w:eastAsia="en-US" w:bidi="ar-SA"/>
      </w:rPr>
    </w:lvl>
    <w:lvl w:ilvl="7">
      <w:start w:val="0"/>
      <w:numFmt w:val="bullet"/>
      <w:lvlText w:val="•"/>
      <w:lvlJc w:val="left"/>
      <w:pPr>
        <w:ind w:left="6761" w:hanging="360"/>
      </w:pPr>
      <w:rPr>
        <w:rFonts w:hint="default"/>
        <w:lang w:val="en-US" w:eastAsia="en-US" w:bidi="ar-SA"/>
      </w:rPr>
    </w:lvl>
    <w:lvl w:ilvl="8">
      <w:start w:val="0"/>
      <w:numFmt w:val="bullet"/>
      <w:lvlText w:val="•"/>
      <w:lvlJc w:val="left"/>
      <w:pPr>
        <w:ind w:left="760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ind w:left="116"/>
      <w:outlineLvl w:val="1"/>
    </w:pPr>
    <w:rPr>
      <w:rFonts w:ascii="Trebuchet MS" w:hAnsi="Trebuchet MS" w:eastAsia="Trebuchet MS" w:cs="Trebuchet MS"/>
      <w:b/>
      <w:bCs/>
      <w:sz w:val="22"/>
      <w:szCs w:val="22"/>
      <w:lang w:val="en-US" w:eastAsia="en-US" w:bidi="ar-SA"/>
    </w:rPr>
  </w:style>
  <w:style w:styleId="ListParagraph" w:type="paragraph">
    <w:name w:val="List Paragraph"/>
    <w:basedOn w:val="Normal"/>
    <w:uiPriority w:val="1"/>
    <w:qFormat/>
    <w:pPr>
      <w:ind w:left="836" w:hanging="360"/>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ubit@wko.at" TargetMode="External"/><Relationship Id="rId7" Type="http://schemas.openxmlformats.org/officeDocument/2006/relationships/hyperlink" Target="http://www.ubit.at/" TargetMode="External"/><Relationship Id="rId8" Type="http://schemas.openxmlformats.org/officeDocument/2006/relationships/hyperlink" Target="http://www.wko.at/datenschutz" TargetMode="Externa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hoc</dc:creator>
  <dcterms:created xsi:type="dcterms:W3CDTF">2024-07-08T13:36:45Z</dcterms:created>
  <dcterms:modified xsi:type="dcterms:W3CDTF">2024-07-08T13:36:45Z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2024-07-08T00:00:00Z</vt:filetime>
  </property>
  <property fmtid="{D5CDD505-2E9C-101B-9397-08002B2CF9AE}" pid="3" name="Creator">
    <vt:lpwstr>Microsoft® Word für Microsoft 365</vt:lpwstr>
  </property>
  <property fmtid="{D5CDD505-2E9C-101B-9397-08002B2CF9AE}" pid="4" name="LastSaved">
    <vt:filetime>2024-07-08T00:00:00Z</vt:filetime>
  </property>
  <property fmtid="{D5CDD505-2E9C-101B-9397-08002B2CF9AE}" pid="5" name="Producer">
    <vt:lpwstr>Microsoft® Word für Microsoft 365</vt:lpwstr>
  </property>
</Properties>
</file>