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rsidR="009E599F" w:rsidRPr="009E599F" w:rsidRDefault="00581B7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009E599F" w:rsidRPr="00960C47">
          <w:rPr>
            <w:rFonts w:cs="Times New Roman"/>
            <w:b/>
            <w:bCs/>
            <w:color w:val="333333"/>
            <w:szCs w:val="22"/>
            <w:lang w:eastAsia="de-AT"/>
          </w:rPr>
          <w:t>Arbeitsauftrag</w:t>
        </w:r>
      </w:hyperlink>
    </w:p>
    <w:p w:rsidR="009E599F" w:rsidRPr="009E599F" w:rsidRDefault="00581B7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Infoblatt Auswärtsgeschäfte / Rücktrittsmöglichkeit</w:t>
        </w:r>
      </w:hyperlink>
    </w:p>
    <w:p w:rsidR="009E599F" w:rsidRPr="009E599F" w:rsidRDefault="00581B7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009E599F" w:rsidRPr="00960C47">
          <w:rPr>
            <w:rFonts w:cs="Times New Roman"/>
            <w:b/>
            <w:bCs/>
            <w:color w:val="333333"/>
            <w:szCs w:val="22"/>
            <w:lang w:eastAsia="de-AT"/>
          </w:rPr>
          <w:t>Textbausteine</w:t>
        </w:r>
      </w:hyperlink>
    </w:p>
    <w:p w:rsidR="00113F9C" w:rsidRPr="00960C47" w:rsidRDefault="00581B7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Muster-Widerrufsformular</w:t>
        </w:r>
      </w:hyperlink>
    </w:p>
    <w:p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 xml:space="preserve">Der Unternehmer verwendet für Vertragsabschlüsse außerhalb von Geschäftsräumen (AGV) in </w:t>
      </w:r>
      <w:proofErr w:type="spellStart"/>
      <w:r w:rsidRPr="00113F9C">
        <w:rPr>
          <w:bCs/>
          <w:color w:val="333333"/>
          <w:szCs w:val="22"/>
          <w:lang w:eastAsia="de-AT"/>
        </w:rPr>
        <w:t>Hinkunft</w:t>
      </w:r>
      <w:proofErr w:type="spellEnd"/>
      <w:r w:rsidRPr="00113F9C">
        <w:rPr>
          <w:bCs/>
          <w:color w:val="333333"/>
          <w:szCs w:val="22"/>
          <w:lang w:eastAsia="de-AT"/>
        </w:rPr>
        <w:t xml:space="preserve">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rsidR="009E599F" w:rsidRP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rsidR="009E599F" w:rsidRDefault="009E599F" w:rsidP="009E599F">
      <w:pPr>
        <w:autoSpaceDE w:val="0"/>
        <w:autoSpaceDN w:val="0"/>
        <w:adjustRightInd w:val="0"/>
        <w:spacing w:before="0" w:after="0" w:line="240" w:lineRule="auto"/>
        <w:rPr>
          <w:bCs/>
          <w:color w:val="333333"/>
          <w:szCs w:val="22"/>
          <w:lang w:eastAsia="de-AT"/>
        </w:rPr>
      </w:pPr>
    </w:p>
    <w:p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proofErr w:type="spellStart"/>
      <w:r w:rsidR="00960C47">
        <w:rPr>
          <w:bCs/>
          <w:color w:val="333333"/>
          <w:szCs w:val="22"/>
          <w:lang w:eastAsia="de-AT"/>
        </w:rPr>
        <w:t>e</w:t>
      </w:r>
      <w:r w:rsidRPr="009E599F">
        <w:rPr>
          <w:bCs/>
          <w:color w:val="333333"/>
          <w:szCs w:val="22"/>
          <w:lang w:eastAsia="de-AT"/>
        </w:rPr>
        <w:t>-mail</w:t>
      </w:r>
      <w:proofErr w:type="spellEnd"/>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rsidR="00113F9C" w:rsidRDefault="00113F9C" w:rsidP="00113F9C">
      <w:pPr>
        <w:spacing w:line="480" w:lineRule="auto"/>
        <w:jc w:val="both"/>
        <w:rPr>
          <w:szCs w:val="22"/>
        </w:rPr>
      </w:pPr>
    </w:p>
    <w:p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ist ausdrücklich mit email Korrespondenz, Gutscheinausstellung einverstanden (Pkt. f).</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rsidR="009E599F" w:rsidRPr="006D7B22" w:rsidRDefault="009E599F" w:rsidP="009E599F">
      <w:pPr>
        <w:rPr>
          <w:rFonts w:cs="Verdana"/>
          <w:sz w:val="20"/>
          <w:lang w:val="de-AT" w:eastAsia="en-US"/>
        </w:rPr>
      </w:pPr>
    </w:p>
    <w:p w:rsidR="009E599F" w:rsidRPr="006D7B22" w:rsidRDefault="009E599F" w:rsidP="009E599F">
      <w:r w:rsidRPr="006D7B22">
        <w:rPr>
          <w:rFonts w:cs="Verdana"/>
          <w:sz w:val="20"/>
          <w:lang w:val="de-AT" w:eastAsia="en-US"/>
        </w:rPr>
        <w:t>Unterschrift des/der Kunden/in: …………………………………………………..</w:t>
      </w:r>
    </w:p>
    <w:p w:rsidR="006D7B22" w:rsidRDefault="006D7B22">
      <w:pPr>
        <w:spacing w:before="0" w:after="0"/>
        <w:rPr>
          <w:szCs w:val="22"/>
        </w:rPr>
      </w:pPr>
      <w:r>
        <w:rPr>
          <w:szCs w:val="22"/>
        </w:rPr>
        <w:br w:type="page"/>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xml:space="preserve">€ </w:t>
      </w:r>
      <w:proofErr w:type="gramStart"/>
      <w:r w:rsidRPr="006D7B22">
        <w:rPr>
          <w:rFonts w:cs="Verdana"/>
          <w:sz w:val="16"/>
          <w:szCs w:val="16"/>
          <w:highlight w:val="yellow"/>
          <w:lang w:val="de-AT" w:eastAsia="en-US"/>
        </w:rPr>
        <w:t>…….</w:t>
      </w:r>
      <w:proofErr w:type="gramEnd"/>
      <w:r w:rsidRPr="006D7B22">
        <w:rPr>
          <w:rFonts w:cs="Verdana"/>
          <w:sz w:val="16"/>
          <w:szCs w:val="16"/>
          <w:highlight w:val="yellow"/>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ich/wir(*) den von mir/uns(*) abgeschlossenen Vertrag über den Kauf der folgenden Ware(*)/ die Erbringung</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Dienstleistung(*). </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Bestellt am…/erhalten am…/Name des(r) Verbrauchers(in)…./ Anschrift des(r) Verbrauchers(</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email </w:t>
      </w:r>
      <w:r w:rsidRPr="006D7B22">
        <w:rPr>
          <w:rFonts w:cs="Verdana"/>
          <w:sz w:val="16"/>
          <w:szCs w:val="16"/>
          <w:lang w:val="de-AT" w:eastAsia="en-US"/>
        </w:rPr>
        <w:t>übermittelt wird.</w:t>
      </w: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j) das sofort zu zahlende Entgelt € 200,- nicht übersteigt und verzichtet für diesen Fall ausdrücklich auf eine Widerrufs-belehrung und das Aushändigen des Widerrufsformulars.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rsidR="009E599F" w:rsidRPr="006D7B22" w:rsidRDefault="009E599F" w:rsidP="009E599F">
      <w:pPr>
        <w:autoSpaceDE w:val="0"/>
        <w:autoSpaceDN w:val="0"/>
        <w:adjustRightInd w:val="0"/>
        <w:spacing w:before="0" w:after="0" w:line="240" w:lineRule="auto"/>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w:t>
      </w:r>
      <w:proofErr w:type="spellStart"/>
      <w:r w:rsidRPr="006D7B22">
        <w:rPr>
          <w:rFonts w:cs="Verdana"/>
          <w:sz w:val="16"/>
          <w:szCs w:val="16"/>
          <w:lang w:val="de-AT" w:eastAsia="en-US"/>
        </w:rPr>
        <w:t>märkten</w:t>
      </w:r>
      <w:proofErr w:type="spellEnd"/>
      <w:r w:rsidRPr="006D7B22">
        <w:rPr>
          <w:rFonts w:cs="Verdana"/>
          <w:sz w:val="16"/>
          <w:szCs w:val="16"/>
          <w:lang w:val="de-AT" w:eastAsia="en-US"/>
        </w:rPr>
        <w:t xml:space="preserve"> abhängig ist;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w:t>
      </w:r>
      <w:proofErr w:type="spellStart"/>
      <w:r w:rsidRPr="006D7B22">
        <w:rPr>
          <w:rFonts w:cs="Verdana"/>
          <w:i/>
          <w:iCs/>
          <w:sz w:val="16"/>
          <w:szCs w:val="16"/>
          <w:lang w:val="de-AT" w:eastAsia="en-US"/>
        </w:rPr>
        <w:t>Sat</w:t>
      </w:r>
      <w:proofErr w:type="spellEnd"/>
      <w:r w:rsidRPr="006D7B22">
        <w:rPr>
          <w:rFonts w:cs="Verdana"/>
          <w:i/>
          <w:iCs/>
          <w:sz w:val="16"/>
          <w:szCs w:val="16"/>
          <w:lang w:val="de-AT" w:eastAsia="en-US"/>
        </w:rPr>
        <w:t xml:space="preserve">-, Kabelfernsehanlagen, EDV-Anlagen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sidRPr="006D7B22">
        <w:rPr>
          <w:rFonts w:cs="Verdana"/>
          <w:i/>
          <w:iCs/>
          <w:sz w:val="16"/>
          <w:szCs w:val="16"/>
          <w:lang w:val="de-AT" w:eastAsia="en-US"/>
        </w:rPr>
        <w:t>geräten</w:t>
      </w:r>
      <w:proofErr w:type="spellEnd"/>
      <w:r w:rsidRPr="006D7B22">
        <w:rPr>
          <w:rFonts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 xml:space="preserve">und Luft, Klimaanlagen in Gebäuden und Kraftfahrzeugen, Wärmepumpenanlagen, Wärmerückgewinnungsanlagen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sidRPr="006D7B22">
        <w:rPr>
          <w:rFonts w:cs="Verdana"/>
          <w:i/>
          <w:iCs/>
          <w:sz w:val="16"/>
          <w:szCs w:val="16"/>
          <w:lang w:val="de-AT" w:eastAsia="en-US"/>
        </w:rPr>
        <w:t>öfen</w:t>
      </w:r>
      <w:proofErr w:type="spellEnd"/>
      <w:r w:rsidRPr="006D7B22">
        <w:rPr>
          <w:rFonts w:cs="Verdana"/>
          <w:i/>
          <w:iCs/>
          <w:sz w:val="16"/>
          <w:szCs w:val="16"/>
          <w:lang w:val="de-AT" w:eastAsia="en-US"/>
        </w:rPr>
        <w:t xml:space="preserve">, Einbau von Kraft-Wärmekoppelungen, Rohrleitungssystemen und sonstigen Einrichtungen für sämtliche Heizungsanlagen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sidRPr="006D7B22">
        <w:rPr>
          <w:rFonts w:cs="Verdana"/>
          <w:i/>
          <w:iCs/>
          <w:sz w:val="16"/>
          <w:szCs w:val="16"/>
          <w:lang w:val="de-AT" w:eastAsia="en-US"/>
        </w:rPr>
        <w:t>kunstschlosserischen</w:t>
      </w:r>
      <w:proofErr w:type="spellEnd"/>
      <w:r w:rsidRPr="006D7B22">
        <w:rPr>
          <w:rFonts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 xml:space="preserve">die Kommunalwirtschaft, Wiederkehrende Begutachtung von Fahrzeugen nach § 57a KFG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Reparatur von Jagd- und Sportwaffen, Veränderung (Veredelung) von </w:t>
      </w:r>
      <w:proofErr w:type="spellStart"/>
      <w:r w:rsidRPr="006D7B22">
        <w:rPr>
          <w:rFonts w:cs="Verdana"/>
          <w:i/>
          <w:iCs/>
          <w:sz w:val="16"/>
          <w:szCs w:val="16"/>
          <w:lang w:val="de-AT" w:eastAsia="en-US"/>
        </w:rPr>
        <w:t>fabriksgefertigten</w:t>
      </w:r>
      <w:proofErr w:type="spellEnd"/>
      <w:r w:rsidRPr="006D7B22">
        <w:rPr>
          <w:rFonts w:cs="Verdana"/>
          <w:i/>
          <w:iCs/>
          <w:sz w:val="16"/>
          <w:szCs w:val="16"/>
          <w:lang w:val="de-AT" w:eastAsia="en-US"/>
        </w:rPr>
        <w:t xml:space="preserve"> Waffen (Schaftveränderung, Gravur u.a.), Verkauf von neuen und gebrauchten Waffen (Jagd-, Sport- und Faustfeuerwaffen)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Muster-Widerrufsformular</w:t>
      </w: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mir/uns(*) abgeschlossenen Vertrag über den Kauf der folgenden Ware (*)/ die Erbringung der folgenden Dienstleistung (*).</w:t>
      </w: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w:t>
      </w:r>
      <w:proofErr w:type="gramStart"/>
      <w:r w:rsidRPr="006D7B22">
        <w:rPr>
          <w:rFonts w:cs="Verdana"/>
          <w:sz w:val="20"/>
          <w:lang w:val="de-AT" w:eastAsia="en-US"/>
        </w:rPr>
        <w:t>…….</w:t>
      </w:r>
      <w:proofErr w:type="gramEnd"/>
      <w:r w:rsidRPr="006D7B22">
        <w:rPr>
          <w:rFonts w:cs="Verdana"/>
          <w:sz w:val="20"/>
          <w:lang w:val="de-AT" w:eastAsia="en-US"/>
        </w:rPr>
        <w:t>./erhalten am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rPr>
          <w:rFonts w:cs="Verdana"/>
          <w:sz w:val="20"/>
          <w:lang w:val="de-AT" w:eastAsia="en-US"/>
        </w:rPr>
      </w:pPr>
      <w:r w:rsidRPr="006D7B22">
        <w:rPr>
          <w:rFonts w:cs="Verdana"/>
          <w:sz w:val="20"/>
          <w:lang w:val="de-AT" w:eastAsia="en-US"/>
        </w:rPr>
        <w:t>Unterschrift de</w:t>
      </w:r>
      <w:bookmarkStart w:id="0" w:name="_GoBack"/>
      <w:bookmarkEnd w:id="0"/>
      <w:r w:rsidRPr="006D7B22">
        <w:rPr>
          <w:rFonts w:cs="Verdana"/>
          <w:sz w:val="20"/>
          <w:lang w:val="de-AT" w:eastAsia="en-US"/>
        </w:rPr>
        <w:t>s/der Verbrauchers (in) ……………………………………………..………………………………….</w:t>
      </w: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9F" w:rsidRDefault="009E599F" w:rsidP="009E599F">
      <w:pPr>
        <w:spacing w:before="0" w:after="0" w:line="240" w:lineRule="auto"/>
      </w:pPr>
      <w:r>
        <w:separator/>
      </w:r>
    </w:p>
  </w:endnote>
  <w:endnote w:type="continuationSeparator" w:id="0">
    <w:p w:rsidR="009E599F" w:rsidRDefault="009E599F"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9F" w:rsidRDefault="009E599F" w:rsidP="009E599F">
    <w:pPr>
      <w:pStyle w:val="Fuzeile"/>
      <w:jc w:val="both"/>
      <w:rPr>
        <w:color w:val="272D2E"/>
        <w:sz w:val="18"/>
        <w:szCs w:val="18"/>
      </w:rPr>
    </w:pPr>
  </w:p>
  <w:p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9F" w:rsidRDefault="009E599F" w:rsidP="009E599F">
      <w:pPr>
        <w:spacing w:before="0" w:after="0" w:line="240" w:lineRule="auto"/>
      </w:pPr>
      <w:r>
        <w:separator/>
      </w:r>
    </w:p>
  </w:footnote>
  <w:footnote w:type="continuationSeparator" w:id="0">
    <w:p w:rsidR="009E599F" w:rsidRDefault="009E599F"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9C"/>
    <w:rsid w:val="000636CF"/>
    <w:rsid w:val="00113F9C"/>
    <w:rsid w:val="006D7B22"/>
    <w:rsid w:val="00960C47"/>
    <w:rsid w:val="009911D1"/>
    <w:rsid w:val="009E59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15025</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Fröschl Judith, Mag., Inhouse Media</cp:lastModifiedBy>
  <cp:revision>2</cp:revision>
  <dcterms:created xsi:type="dcterms:W3CDTF">2017-03-11T14:33:00Z</dcterms:created>
  <dcterms:modified xsi:type="dcterms:W3CDTF">2017-03-11T14:33:00Z</dcterms:modified>
</cp:coreProperties>
</file>