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4879" w14:textId="0222DF61" w:rsidR="00E736C4" w:rsidRPr="007866A8" w:rsidRDefault="003A2401" w:rsidP="007866A8">
      <w:pPr>
        <w:jc w:val="center"/>
        <w:rPr>
          <w:b/>
          <w:sz w:val="26"/>
          <w:szCs w:val="26"/>
          <w:lang w:val="de-AT"/>
        </w:rPr>
      </w:pPr>
      <w:r w:rsidRPr="007866A8">
        <w:rPr>
          <w:b/>
          <w:sz w:val="26"/>
          <w:szCs w:val="26"/>
          <w:lang w:val="de-AT"/>
        </w:rPr>
        <w:t>Mitwirkungspflichten</w:t>
      </w:r>
      <w:r w:rsidR="00235153" w:rsidRPr="007866A8">
        <w:rPr>
          <w:b/>
          <w:sz w:val="26"/>
          <w:szCs w:val="26"/>
          <w:lang w:val="de-AT"/>
        </w:rPr>
        <w:t xml:space="preserve"> von EURES-Partnern/EURES-Mitgliedern</w:t>
      </w:r>
    </w:p>
    <w:p w14:paraId="2D33E3D8" w14:textId="0E4A878A" w:rsidR="002444C1" w:rsidRDefault="002444C1" w:rsidP="002444C1">
      <w:pPr>
        <w:rPr>
          <w:lang w:val="de-AT"/>
        </w:rPr>
      </w:pPr>
    </w:p>
    <w:p w14:paraId="5049F96D" w14:textId="05B3E7FE" w:rsidR="00304D9A" w:rsidRPr="00304D9A" w:rsidRDefault="00304D9A" w:rsidP="00304D9A">
      <w:pPr>
        <w:rPr>
          <w:lang w:val="de-AT"/>
        </w:rPr>
      </w:pPr>
      <w:r w:rsidRPr="00304D9A">
        <w:rPr>
          <w:lang w:val="de-AT"/>
        </w:rPr>
        <w:t>EURES-Partner und EURES-Mitglieder haben das Nationale Koordinierungsbüro, das AMS, bei der Erstellung der nationalen Arbeitsprogramme</w:t>
      </w:r>
      <w:r w:rsidR="00DE44C6">
        <w:rPr>
          <w:lang w:val="de-AT"/>
        </w:rPr>
        <w:t xml:space="preserve"> und bei Mitteilungspflichten an weitere europäische Institutionen </w:t>
      </w:r>
      <w:r w:rsidRPr="00304D9A">
        <w:rPr>
          <w:lang w:val="de-AT"/>
        </w:rPr>
        <w:t xml:space="preserve">zu unterstützen. </w:t>
      </w:r>
    </w:p>
    <w:p w14:paraId="7860F815" w14:textId="43E6F4CF" w:rsidR="00304D9A" w:rsidRDefault="00DE44C6" w:rsidP="0040526D">
      <w:pPr>
        <w:rPr>
          <w:lang w:val="de-AT"/>
        </w:rPr>
      </w:pPr>
      <w:r>
        <w:rPr>
          <w:lang w:val="de-AT"/>
        </w:rPr>
        <w:t xml:space="preserve">Daher </w:t>
      </w:r>
      <w:r w:rsidR="00304D9A">
        <w:rPr>
          <w:lang w:val="de-AT"/>
        </w:rPr>
        <w:t xml:space="preserve">gibt </w:t>
      </w:r>
      <w:r>
        <w:rPr>
          <w:lang w:val="de-AT"/>
        </w:rPr>
        <w:t xml:space="preserve">es </w:t>
      </w:r>
      <w:r w:rsidR="00304D9A">
        <w:rPr>
          <w:lang w:val="de-AT"/>
        </w:rPr>
        <w:t>folgende Berichtspflichten</w:t>
      </w:r>
      <w:r w:rsidR="003B2FB8">
        <w:rPr>
          <w:lang w:val="de-AT"/>
        </w:rPr>
        <w:t xml:space="preserve"> an das AMS</w:t>
      </w:r>
      <w:r w:rsidR="00304D9A">
        <w:rPr>
          <w:lang w:val="de-AT"/>
        </w:rPr>
        <w:t xml:space="preserve">: </w:t>
      </w:r>
    </w:p>
    <w:p w14:paraId="69D3E4D1" w14:textId="00FE2815" w:rsidR="00304D9A" w:rsidRDefault="00304D9A" w:rsidP="0040526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8"/>
        <w:gridCol w:w="2058"/>
        <w:gridCol w:w="1761"/>
        <w:gridCol w:w="3185"/>
      </w:tblGrid>
      <w:tr w:rsidR="00304D9A" w14:paraId="1D22C5A1" w14:textId="77777777" w:rsidTr="00135333">
        <w:tc>
          <w:tcPr>
            <w:tcW w:w="1793" w:type="dxa"/>
            <w:shd w:val="clear" w:color="auto" w:fill="FF0000"/>
          </w:tcPr>
          <w:p w14:paraId="2D23F149" w14:textId="74D91389" w:rsidR="00304D9A" w:rsidRDefault="00304D9A" w:rsidP="0040526D">
            <w:pPr>
              <w:rPr>
                <w:lang w:val="de-AT"/>
              </w:rPr>
            </w:pPr>
            <w:r>
              <w:rPr>
                <w:lang w:val="de-AT"/>
              </w:rPr>
              <w:t>Wann?</w:t>
            </w:r>
          </w:p>
        </w:tc>
        <w:tc>
          <w:tcPr>
            <w:tcW w:w="2345" w:type="dxa"/>
            <w:shd w:val="clear" w:color="auto" w:fill="FFC000"/>
          </w:tcPr>
          <w:p w14:paraId="56EC38C0" w14:textId="44D41A85" w:rsidR="00304D9A" w:rsidRDefault="00304D9A" w:rsidP="0040526D">
            <w:pPr>
              <w:rPr>
                <w:lang w:val="de-AT"/>
              </w:rPr>
            </w:pPr>
            <w:r>
              <w:rPr>
                <w:lang w:val="de-AT"/>
              </w:rPr>
              <w:t>Was?</w:t>
            </w:r>
          </w:p>
        </w:tc>
        <w:tc>
          <w:tcPr>
            <w:tcW w:w="1570" w:type="dxa"/>
            <w:shd w:val="clear" w:color="auto" w:fill="00B050"/>
          </w:tcPr>
          <w:p w14:paraId="3F49FAEC" w14:textId="31B29723" w:rsidR="00304D9A" w:rsidRDefault="00304D9A" w:rsidP="0040526D">
            <w:pPr>
              <w:rPr>
                <w:lang w:val="de-AT"/>
              </w:rPr>
            </w:pPr>
            <w:r>
              <w:rPr>
                <w:lang w:val="de-AT"/>
              </w:rPr>
              <w:t>Wie?</w:t>
            </w:r>
          </w:p>
        </w:tc>
        <w:tc>
          <w:tcPr>
            <w:tcW w:w="3354" w:type="dxa"/>
            <w:shd w:val="clear" w:color="auto" w:fill="92D050"/>
          </w:tcPr>
          <w:p w14:paraId="142C17BD" w14:textId="04B7B9C6" w:rsidR="00304D9A" w:rsidRDefault="003B2FB8" w:rsidP="0040526D">
            <w:pPr>
              <w:rPr>
                <w:lang w:val="de-AT"/>
              </w:rPr>
            </w:pPr>
            <w:r>
              <w:rPr>
                <w:lang w:val="de-AT"/>
              </w:rPr>
              <w:t>Welche Informationen?</w:t>
            </w:r>
          </w:p>
        </w:tc>
      </w:tr>
      <w:tr w:rsidR="00304D9A" w14:paraId="6294695D" w14:textId="77777777" w:rsidTr="00780323">
        <w:tc>
          <w:tcPr>
            <w:tcW w:w="1793" w:type="dxa"/>
          </w:tcPr>
          <w:p w14:paraId="5A0479F1" w14:textId="71CFBE95" w:rsidR="00304D9A" w:rsidRDefault="00DB4499" w:rsidP="0040526D">
            <w:pPr>
              <w:rPr>
                <w:lang w:val="de-AT"/>
              </w:rPr>
            </w:pPr>
            <w:r>
              <w:rPr>
                <w:lang w:val="de-AT"/>
              </w:rPr>
              <w:t xml:space="preserve">Einmal jährlich im September </w:t>
            </w:r>
          </w:p>
        </w:tc>
        <w:tc>
          <w:tcPr>
            <w:tcW w:w="2345" w:type="dxa"/>
          </w:tcPr>
          <w:p w14:paraId="78C70530" w14:textId="63564BA6" w:rsidR="00304D9A" w:rsidRDefault="00DB4499" w:rsidP="0040526D">
            <w:pPr>
              <w:rPr>
                <w:lang w:val="de-AT"/>
              </w:rPr>
            </w:pPr>
            <w:r>
              <w:rPr>
                <w:lang w:val="de-AT"/>
              </w:rPr>
              <w:t>Jahresaktivitäten</w:t>
            </w:r>
            <w:r w:rsidR="00135333">
              <w:rPr>
                <w:lang w:val="de-AT"/>
              </w:rPr>
              <w:t>-</w:t>
            </w:r>
            <w:r>
              <w:rPr>
                <w:lang w:val="de-AT"/>
              </w:rPr>
              <w:t>planung</w:t>
            </w:r>
          </w:p>
        </w:tc>
        <w:tc>
          <w:tcPr>
            <w:tcW w:w="1570" w:type="dxa"/>
          </w:tcPr>
          <w:p w14:paraId="6885FE55" w14:textId="764C8EFE" w:rsidR="00780323" w:rsidRDefault="00780323" w:rsidP="0040526D">
            <w:pPr>
              <w:rPr>
                <w:lang w:val="de-AT"/>
              </w:rPr>
            </w:pPr>
          </w:p>
          <w:p w14:paraId="061EFF32" w14:textId="57C51A82" w:rsidR="00780323" w:rsidRDefault="00780323" w:rsidP="0040526D">
            <w:pPr>
              <w:rPr>
                <w:lang w:val="de-AT"/>
              </w:rPr>
            </w:pPr>
            <w:r w:rsidRPr="00780323">
              <w:rPr>
                <w:lang w:val="de-AT"/>
              </w:rPr>
              <w:object w:dxaOrig="1545" w:dyaOrig="990" w14:anchorId="708FCD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5" o:title=""/>
                </v:shape>
                <o:OLEObject Type="Embed" ProgID="Excel.Sheet.12" ShapeID="_x0000_i1025" DrawAspect="Icon" ObjectID="_1673436275" r:id="rId6"/>
              </w:object>
            </w:r>
          </w:p>
        </w:tc>
        <w:tc>
          <w:tcPr>
            <w:tcW w:w="3354" w:type="dxa"/>
          </w:tcPr>
          <w:p w14:paraId="6E30E545" w14:textId="7C91F5BA" w:rsidR="00304D9A" w:rsidRPr="00780323" w:rsidRDefault="00780323" w:rsidP="0040526D">
            <w:pPr>
              <w:rPr>
                <w:lang w:val="de-AT"/>
              </w:rPr>
            </w:pPr>
            <w:r w:rsidRPr="00780323">
              <w:t>Projekte, Aktivitäten, Indikatoren und geplante Zielerreichung</w:t>
            </w:r>
          </w:p>
        </w:tc>
      </w:tr>
      <w:tr w:rsidR="00780323" w14:paraId="7AC9256C" w14:textId="77777777" w:rsidTr="00780323">
        <w:tc>
          <w:tcPr>
            <w:tcW w:w="1793" w:type="dxa"/>
            <w:vMerge w:val="restart"/>
          </w:tcPr>
          <w:p w14:paraId="6ED6B536" w14:textId="05D6E8F9" w:rsidR="00780323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t xml:space="preserve">Zweimal im Jahr – jeweils im Februar und im Juli </w:t>
            </w:r>
          </w:p>
        </w:tc>
        <w:tc>
          <w:tcPr>
            <w:tcW w:w="2345" w:type="dxa"/>
          </w:tcPr>
          <w:p w14:paraId="1BA00A28" w14:textId="77777777" w:rsidR="00780323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t>Im Februar:</w:t>
            </w:r>
          </w:p>
          <w:p w14:paraId="3DF2D453" w14:textId="470895AD" w:rsidR="00780323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t xml:space="preserve">Bericht über die Umsetzung der Aktivitäten </w:t>
            </w:r>
            <w:proofErr w:type="gramStart"/>
            <w:r>
              <w:rPr>
                <w:lang w:val="de-AT"/>
              </w:rPr>
              <w:t>aus dem vergangen Halbjahr</w:t>
            </w:r>
            <w:proofErr w:type="gramEnd"/>
            <w:r>
              <w:rPr>
                <w:lang w:val="de-AT"/>
              </w:rPr>
              <w:t xml:space="preserve"> (2.Semester des Vorjahres) </w:t>
            </w:r>
          </w:p>
        </w:tc>
        <w:tc>
          <w:tcPr>
            <w:tcW w:w="1570" w:type="dxa"/>
          </w:tcPr>
          <w:p w14:paraId="27C849CC" w14:textId="44050693" w:rsidR="00780323" w:rsidRDefault="00A41B0F" w:rsidP="0040526D">
            <w:pPr>
              <w:rPr>
                <w:lang w:val="de-AT"/>
              </w:rPr>
            </w:pPr>
            <w:r>
              <w:rPr>
                <w:lang w:val="de-AT"/>
              </w:rPr>
              <w:br/>
            </w:r>
            <w:r w:rsidR="00566A3E" w:rsidRPr="00A41B0F">
              <w:rPr>
                <w:lang w:val="de-AT"/>
              </w:rPr>
              <w:object w:dxaOrig="1539" w:dyaOrig="997" w14:anchorId="2F56182F">
                <v:shape id="_x0000_i1030" type="#_x0000_t75" style="width:77.25pt;height:49.5pt" o:ole="">
                  <v:imagedata r:id="rId5" o:title=""/>
                </v:shape>
                <o:OLEObject Type="Embed" ProgID="Excel.Sheet.12" ShapeID="_x0000_i1030" DrawAspect="Icon" ObjectID="_1673436276" r:id="rId7"/>
              </w:object>
            </w:r>
          </w:p>
        </w:tc>
        <w:tc>
          <w:tcPr>
            <w:tcW w:w="3354" w:type="dxa"/>
            <w:vMerge w:val="restart"/>
          </w:tcPr>
          <w:p w14:paraId="1526F7BA" w14:textId="77777777" w:rsidR="00632634" w:rsidRDefault="00780323" w:rsidP="00780323">
            <w:pPr>
              <w:rPr>
                <w:lang w:val="de-AT"/>
              </w:rPr>
            </w:pPr>
            <w:r>
              <w:rPr>
                <w:lang w:val="de-AT"/>
              </w:rPr>
              <w:t>Für jedes</w:t>
            </w:r>
            <w:r w:rsidRPr="00780323">
              <w:rPr>
                <w:lang w:val="de-AT"/>
              </w:rPr>
              <w:t xml:space="preserve"> Projekt oder </w:t>
            </w:r>
            <w:r>
              <w:rPr>
                <w:lang w:val="de-AT"/>
              </w:rPr>
              <w:t xml:space="preserve">jede </w:t>
            </w:r>
            <w:r w:rsidRPr="00780323">
              <w:rPr>
                <w:lang w:val="de-AT"/>
              </w:rPr>
              <w:t>Aktivität</w:t>
            </w:r>
            <w:r>
              <w:rPr>
                <w:lang w:val="de-AT"/>
              </w:rPr>
              <w:t xml:space="preserve"> sind</w:t>
            </w:r>
            <w:r w:rsidR="00632634">
              <w:rPr>
                <w:lang w:val="de-AT"/>
              </w:rPr>
              <w:t>:</w:t>
            </w:r>
          </w:p>
          <w:p w14:paraId="24660360" w14:textId="77777777" w:rsidR="00632634" w:rsidRDefault="00780323" w:rsidP="00632634">
            <w:pPr>
              <w:pStyle w:val="Listenabsatz"/>
              <w:numPr>
                <w:ilvl w:val="0"/>
                <w:numId w:val="6"/>
              </w:numPr>
              <w:rPr>
                <w:lang w:val="de-AT"/>
              </w:rPr>
            </w:pPr>
            <w:r w:rsidRPr="00632634">
              <w:rPr>
                <w:lang w:val="de-AT"/>
              </w:rPr>
              <w:t>die tat</w:t>
            </w:r>
            <w:r w:rsidR="00632634">
              <w:rPr>
                <w:lang w:val="de-AT"/>
              </w:rPr>
              <w:t>sächlich erreichten Ergebnisse</w:t>
            </w:r>
          </w:p>
          <w:p w14:paraId="4F07394D" w14:textId="77777777" w:rsidR="00632634" w:rsidRDefault="00632634" w:rsidP="00632634">
            <w:pPr>
              <w:pStyle w:val="Listenabsatz"/>
              <w:numPr>
                <w:ilvl w:val="0"/>
                <w:numId w:val="6"/>
              </w:numPr>
              <w:rPr>
                <w:lang w:val="de-AT"/>
              </w:rPr>
            </w:pPr>
            <w:r>
              <w:rPr>
                <w:lang w:val="de-AT"/>
              </w:rPr>
              <w:t>weitere Analysedaten</w:t>
            </w:r>
          </w:p>
          <w:p w14:paraId="0C09B938" w14:textId="77777777" w:rsidR="00632634" w:rsidRDefault="00B04485" w:rsidP="00632634">
            <w:pPr>
              <w:pStyle w:val="Listenabsatz"/>
              <w:numPr>
                <w:ilvl w:val="0"/>
                <w:numId w:val="6"/>
              </w:numPr>
              <w:rPr>
                <w:lang w:val="de-AT"/>
              </w:rPr>
            </w:pPr>
            <w:r w:rsidRPr="00632634">
              <w:rPr>
                <w:lang w:val="de-AT"/>
              </w:rPr>
              <w:t>allfällige, ergänzende</w:t>
            </w:r>
            <w:r w:rsidR="00780323" w:rsidRPr="00632634">
              <w:rPr>
                <w:lang w:val="de-AT"/>
              </w:rPr>
              <w:t xml:space="preserve"> Kommentare </w:t>
            </w:r>
          </w:p>
          <w:p w14:paraId="3C7C7A31" w14:textId="77777777" w:rsidR="00632634" w:rsidRDefault="00632634" w:rsidP="00632634">
            <w:pPr>
              <w:pStyle w:val="Listenabsatz"/>
              <w:ind w:left="785"/>
              <w:rPr>
                <w:lang w:val="de-AT"/>
              </w:rPr>
            </w:pPr>
          </w:p>
          <w:p w14:paraId="49C3E230" w14:textId="6C1353A3" w:rsidR="00780323" w:rsidRPr="00632634" w:rsidRDefault="00780323" w:rsidP="00632634">
            <w:pPr>
              <w:ind w:left="425"/>
              <w:rPr>
                <w:lang w:val="de-AT"/>
              </w:rPr>
            </w:pPr>
            <w:r w:rsidRPr="00632634">
              <w:rPr>
                <w:lang w:val="de-AT"/>
              </w:rPr>
              <w:t xml:space="preserve">einzutragen. </w:t>
            </w:r>
            <w:r w:rsidRPr="00632634">
              <w:rPr>
                <w:lang w:val="de-AT"/>
              </w:rPr>
              <w:br/>
            </w:r>
            <w:r w:rsidRPr="00632634">
              <w:rPr>
                <w:lang w:val="de-AT"/>
              </w:rPr>
              <w:br/>
              <w:t>Im Falle von nicht stattgefundenen Projekten sind die Gründe dafür darzulegen.</w:t>
            </w:r>
          </w:p>
        </w:tc>
      </w:tr>
      <w:tr w:rsidR="00780323" w14:paraId="5B0A76E3" w14:textId="77777777" w:rsidTr="00780323">
        <w:tc>
          <w:tcPr>
            <w:tcW w:w="1793" w:type="dxa"/>
            <w:vMerge/>
          </w:tcPr>
          <w:p w14:paraId="729B0FD1" w14:textId="7FD0BC5B" w:rsidR="00780323" w:rsidRDefault="00780323" w:rsidP="0040526D">
            <w:pPr>
              <w:rPr>
                <w:lang w:val="de-AT"/>
              </w:rPr>
            </w:pPr>
          </w:p>
        </w:tc>
        <w:tc>
          <w:tcPr>
            <w:tcW w:w="2345" w:type="dxa"/>
          </w:tcPr>
          <w:p w14:paraId="06A25952" w14:textId="77777777" w:rsidR="00780323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t xml:space="preserve">Im Juli: </w:t>
            </w:r>
          </w:p>
          <w:p w14:paraId="41BAA881" w14:textId="33F6B613" w:rsidR="00780323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t>Bericht über die Umsetzung der Aktivitäten aus dem vergangenen Halbjahr (aus dem ersten Semester)</w:t>
            </w:r>
          </w:p>
        </w:tc>
        <w:tc>
          <w:tcPr>
            <w:tcW w:w="1570" w:type="dxa"/>
          </w:tcPr>
          <w:p w14:paraId="00920CA4" w14:textId="77777777" w:rsidR="00A41B0F" w:rsidRDefault="00A41B0F" w:rsidP="0040526D">
            <w:pPr>
              <w:rPr>
                <w:lang w:val="de-AT"/>
              </w:rPr>
            </w:pPr>
          </w:p>
          <w:p w14:paraId="30DF4624" w14:textId="39018964" w:rsidR="00A41B0F" w:rsidRDefault="00A41B0F" w:rsidP="0040526D">
            <w:pPr>
              <w:rPr>
                <w:lang w:val="de-AT"/>
              </w:rPr>
            </w:pPr>
            <w:r w:rsidRPr="00A41B0F">
              <w:rPr>
                <w:lang w:val="de-AT"/>
              </w:rPr>
              <w:object w:dxaOrig="1545" w:dyaOrig="990" w14:anchorId="7DFB9EA1">
                <v:shape id="_x0000_i1027" type="#_x0000_t75" style="width:77.25pt;height:49.5pt" o:ole="">
                  <v:imagedata r:id="rId5" o:title=""/>
                </v:shape>
                <o:OLEObject Type="Embed" ProgID="Excel.Sheet.12" ShapeID="_x0000_i1027" DrawAspect="Icon" ObjectID="_1673436277" r:id="rId8"/>
              </w:object>
            </w:r>
          </w:p>
        </w:tc>
        <w:tc>
          <w:tcPr>
            <w:tcW w:w="3354" w:type="dxa"/>
            <w:vMerge/>
          </w:tcPr>
          <w:p w14:paraId="00928E6D" w14:textId="77777777" w:rsidR="00780323" w:rsidRDefault="00780323" w:rsidP="0040526D">
            <w:pPr>
              <w:rPr>
                <w:lang w:val="de-AT"/>
              </w:rPr>
            </w:pPr>
          </w:p>
        </w:tc>
      </w:tr>
      <w:tr w:rsidR="003B2FB8" w14:paraId="32DB474A" w14:textId="77777777" w:rsidTr="00135333">
        <w:trPr>
          <w:trHeight w:val="3857"/>
        </w:trPr>
        <w:tc>
          <w:tcPr>
            <w:tcW w:w="1793" w:type="dxa"/>
          </w:tcPr>
          <w:p w14:paraId="6DC16B92" w14:textId="51CAAE48" w:rsidR="00780323" w:rsidRDefault="003B2FB8" w:rsidP="0040526D">
            <w:pPr>
              <w:rPr>
                <w:lang w:val="de-AT"/>
              </w:rPr>
            </w:pPr>
            <w:r>
              <w:rPr>
                <w:lang w:val="de-AT"/>
              </w:rPr>
              <w:t xml:space="preserve">Zweimal im Jahr – jeweils </w:t>
            </w:r>
            <w:r w:rsidR="00780323">
              <w:rPr>
                <w:lang w:val="de-AT"/>
              </w:rPr>
              <w:t>im Februar</w:t>
            </w:r>
            <w:r w:rsidR="00780323">
              <w:rPr>
                <w:lang w:val="de-AT"/>
              </w:rPr>
              <w:br/>
              <w:t>und im Juli</w:t>
            </w:r>
            <w:r w:rsidR="00780323">
              <w:rPr>
                <w:lang w:val="de-AT"/>
              </w:rPr>
              <w:br/>
            </w:r>
          </w:p>
          <w:p w14:paraId="2EA127B7" w14:textId="3BCD9A9F" w:rsidR="003B2FB8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t>(PMS/Performance Measurement System)</w:t>
            </w:r>
          </w:p>
        </w:tc>
        <w:tc>
          <w:tcPr>
            <w:tcW w:w="2345" w:type="dxa"/>
          </w:tcPr>
          <w:p w14:paraId="777D6182" w14:textId="56543F2E" w:rsidR="003B2FB8" w:rsidRDefault="00780323" w:rsidP="0040526D">
            <w:pPr>
              <w:rPr>
                <w:lang w:val="de-AT"/>
              </w:rPr>
            </w:pPr>
            <w:r w:rsidRPr="00780323">
              <w:rPr>
                <w:lang w:val="de-AT"/>
              </w:rPr>
              <w:t>Datenerhebung zur Funktionsw</w:t>
            </w:r>
            <w:r w:rsidR="00135333">
              <w:rPr>
                <w:lang w:val="de-AT"/>
              </w:rPr>
              <w:t>eise und Performance des EURES-N</w:t>
            </w:r>
            <w:r w:rsidRPr="00780323">
              <w:rPr>
                <w:lang w:val="de-AT"/>
              </w:rPr>
              <w:t>etzwerkes</w:t>
            </w:r>
          </w:p>
        </w:tc>
        <w:tc>
          <w:tcPr>
            <w:tcW w:w="1570" w:type="dxa"/>
          </w:tcPr>
          <w:p w14:paraId="2012A3C0" w14:textId="07A6F211" w:rsidR="00780323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br/>
            </w:r>
            <w:r w:rsidRPr="00780323">
              <w:rPr>
                <w:b/>
                <w:lang w:val="de-AT"/>
              </w:rPr>
              <w:object w:dxaOrig="1508" w:dyaOrig="983" w14:anchorId="6DA00175">
                <v:shape id="_x0000_i1028" type="#_x0000_t75" style="width:75pt;height:49.5pt" o:ole="">
                  <v:imagedata r:id="rId9" o:title=""/>
                </v:shape>
                <o:OLEObject Type="Embed" ProgID="Excel.Sheet.8" ShapeID="_x0000_i1028" DrawAspect="Icon" ObjectID="_1673436278" r:id="rId10"/>
              </w:object>
            </w:r>
          </w:p>
        </w:tc>
        <w:tc>
          <w:tcPr>
            <w:tcW w:w="3354" w:type="dxa"/>
          </w:tcPr>
          <w:p w14:paraId="07461467" w14:textId="77777777" w:rsidR="003B2FB8" w:rsidRDefault="00780323" w:rsidP="0040526D">
            <w:pPr>
              <w:rPr>
                <w:lang w:val="de-AT"/>
              </w:rPr>
            </w:pPr>
            <w:r>
              <w:rPr>
                <w:lang w:val="de-AT"/>
              </w:rPr>
              <w:t xml:space="preserve">Daten zu </w:t>
            </w:r>
            <w:r>
              <w:rPr>
                <w:lang w:val="de-AT"/>
              </w:rPr>
              <w:br/>
            </w:r>
          </w:p>
          <w:p w14:paraId="5025F4B8" w14:textId="6E58133D" w:rsidR="00780323" w:rsidRPr="00780323" w:rsidRDefault="00780323" w:rsidP="00632634">
            <w:pPr>
              <w:ind w:left="720"/>
              <w:rPr>
                <w:lang w:val="de-AT"/>
              </w:rPr>
            </w:pPr>
            <w:r w:rsidRPr="00780323">
              <w:rPr>
                <w:lang w:val="de-AT"/>
              </w:rPr>
              <w:t xml:space="preserve">Information und Beratung </w:t>
            </w:r>
            <w:proofErr w:type="gramStart"/>
            <w:r w:rsidRPr="00780323">
              <w:rPr>
                <w:lang w:val="de-AT"/>
              </w:rPr>
              <w:t>von Ar</w:t>
            </w:r>
            <w:r w:rsidR="00135333">
              <w:rPr>
                <w:lang w:val="de-AT"/>
              </w:rPr>
              <w:t>beitnehmerInnen</w:t>
            </w:r>
            <w:proofErr w:type="gramEnd"/>
            <w:r w:rsidR="00135333">
              <w:rPr>
                <w:lang w:val="de-AT"/>
              </w:rPr>
              <w:t xml:space="preserve"> und </w:t>
            </w:r>
            <w:proofErr w:type="spellStart"/>
            <w:r w:rsidR="00135333">
              <w:rPr>
                <w:lang w:val="de-AT"/>
              </w:rPr>
              <w:t>DienstgeberInnen</w:t>
            </w:r>
            <w:proofErr w:type="spellEnd"/>
          </w:p>
          <w:p w14:paraId="5B2A1075" w14:textId="791DFBC5" w:rsidR="00780323" w:rsidRPr="00780323" w:rsidRDefault="00780323" w:rsidP="00780323">
            <w:pPr>
              <w:numPr>
                <w:ilvl w:val="0"/>
                <w:numId w:val="4"/>
              </w:numPr>
              <w:rPr>
                <w:lang w:val="de-AT"/>
              </w:rPr>
            </w:pPr>
            <w:r w:rsidRPr="00780323">
              <w:rPr>
                <w:lang w:val="de-AT"/>
              </w:rPr>
              <w:t>Teilnahme an Informations- und Rekrutierungs</w:t>
            </w:r>
            <w:r w:rsidR="00135333">
              <w:rPr>
                <w:lang w:val="de-AT"/>
              </w:rPr>
              <w:t>-</w:t>
            </w:r>
            <w:r w:rsidRPr="00780323">
              <w:rPr>
                <w:lang w:val="de-AT"/>
              </w:rPr>
              <w:t>veranstaltungen</w:t>
            </w:r>
          </w:p>
          <w:p w14:paraId="77C63BA2" w14:textId="77777777" w:rsidR="00780323" w:rsidRPr="00780323" w:rsidRDefault="00780323" w:rsidP="00780323">
            <w:pPr>
              <w:numPr>
                <w:ilvl w:val="0"/>
                <w:numId w:val="4"/>
              </w:numPr>
              <w:rPr>
                <w:lang w:val="de-AT"/>
              </w:rPr>
            </w:pPr>
            <w:r w:rsidRPr="00780323">
              <w:rPr>
                <w:lang w:val="de-AT"/>
              </w:rPr>
              <w:t>Vermittlung in Arbeit</w:t>
            </w:r>
          </w:p>
          <w:p w14:paraId="0AEA9B9C" w14:textId="77777777" w:rsidR="00780323" w:rsidRPr="00780323" w:rsidRDefault="00780323" w:rsidP="00780323">
            <w:pPr>
              <w:numPr>
                <w:ilvl w:val="0"/>
                <w:numId w:val="4"/>
              </w:numPr>
              <w:rPr>
                <w:lang w:val="de-AT"/>
              </w:rPr>
            </w:pPr>
            <w:r w:rsidRPr="00780323">
              <w:rPr>
                <w:lang w:val="de-AT"/>
              </w:rPr>
              <w:t>Kommunikation/Social Media</w:t>
            </w:r>
          </w:p>
          <w:p w14:paraId="0620C968" w14:textId="58C48C45" w:rsidR="00780323" w:rsidRDefault="00780323" w:rsidP="0040526D">
            <w:pPr>
              <w:rPr>
                <w:lang w:val="de-AT"/>
              </w:rPr>
            </w:pPr>
          </w:p>
        </w:tc>
      </w:tr>
      <w:tr w:rsidR="00304D9A" w14:paraId="4FD2FE53" w14:textId="77777777" w:rsidTr="00780323">
        <w:trPr>
          <w:trHeight w:val="394"/>
        </w:trPr>
        <w:tc>
          <w:tcPr>
            <w:tcW w:w="1793" w:type="dxa"/>
          </w:tcPr>
          <w:p w14:paraId="3B7FBD2B" w14:textId="51143488" w:rsidR="00304D9A" w:rsidRDefault="00CF69D9" w:rsidP="0040526D">
            <w:pPr>
              <w:rPr>
                <w:lang w:val="de-AT"/>
              </w:rPr>
            </w:pPr>
            <w:r>
              <w:rPr>
                <w:lang w:val="de-AT"/>
              </w:rPr>
              <w:t xml:space="preserve">Einmal alle zwei Jahre im Juni </w:t>
            </w:r>
            <w:r>
              <w:rPr>
                <w:lang w:val="de-AT"/>
              </w:rPr>
              <w:br/>
              <w:t>(Juni 2021, 2023, 2025)</w:t>
            </w:r>
          </w:p>
        </w:tc>
        <w:tc>
          <w:tcPr>
            <w:tcW w:w="2345" w:type="dxa"/>
          </w:tcPr>
          <w:p w14:paraId="2E88DC8F" w14:textId="3445E990" w:rsidR="00304D9A" w:rsidRDefault="00135333" w:rsidP="0040526D">
            <w:pPr>
              <w:rPr>
                <w:lang w:val="de-AT"/>
              </w:rPr>
            </w:pPr>
            <w:r>
              <w:rPr>
                <w:lang w:val="de-AT"/>
              </w:rPr>
              <w:t>Ex-</w:t>
            </w:r>
            <w:r w:rsidR="003B2FB8">
              <w:rPr>
                <w:lang w:val="de-AT"/>
              </w:rPr>
              <w:t xml:space="preserve">post Evaluierung </w:t>
            </w:r>
          </w:p>
        </w:tc>
        <w:tc>
          <w:tcPr>
            <w:tcW w:w="1570" w:type="dxa"/>
          </w:tcPr>
          <w:p w14:paraId="53822DCB" w14:textId="29D09238" w:rsidR="00304D9A" w:rsidRDefault="00A41B0F" w:rsidP="0040526D">
            <w:pPr>
              <w:rPr>
                <w:lang w:val="de-AT"/>
              </w:rPr>
            </w:pPr>
            <w:r>
              <w:rPr>
                <w:lang w:val="de-AT"/>
              </w:rPr>
              <w:t>Nach Aufforderung durch das Nationale Koordinierungs-büro (AMS)</w:t>
            </w:r>
          </w:p>
        </w:tc>
        <w:tc>
          <w:tcPr>
            <w:tcW w:w="3354" w:type="dxa"/>
          </w:tcPr>
          <w:p w14:paraId="4423A867" w14:textId="687B4F2D" w:rsidR="00304D9A" w:rsidRDefault="00A41B0F" w:rsidP="00A41B0F">
            <w:pPr>
              <w:rPr>
                <w:lang w:val="de-AT"/>
              </w:rPr>
            </w:pPr>
            <w:r>
              <w:rPr>
                <w:lang w:val="de-AT"/>
              </w:rPr>
              <w:t>Inhalt ist noch von</w:t>
            </w:r>
            <w:r w:rsidR="00187424">
              <w:rPr>
                <w:lang w:val="de-AT"/>
              </w:rPr>
              <w:t xml:space="preserve"> dem</w:t>
            </w:r>
            <w:r>
              <w:rPr>
                <w:lang w:val="de-AT"/>
              </w:rPr>
              <w:t xml:space="preserve"> Nationalen Koordinierungsbüro (AMS) bekannt zu geben.</w:t>
            </w:r>
          </w:p>
        </w:tc>
      </w:tr>
    </w:tbl>
    <w:p w14:paraId="31544E4D" w14:textId="77777777" w:rsidR="00304D9A" w:rsidRPr="0040526D" w:rsidRDefault="00304D9A" w:rsidP="0040526D">
      <w:pPr>
        <w:rPr>
          <w:lang w:val="de-AT"/>
        </w:rPr>
      </w:pPr>
    </w:p>
    <w:sectPr w:rsidR="00304D9A" w:rsidRPr="0040526D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A2A2B"/>
    <w:multiLevelType w:val="hybridMultilevel"/>
    <w:tmpl w:val="DD7A462C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A915A8A"/>
    <w:multiLevelType w:val="multilevel"/>
    <w:tmpl w:val="594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34F0D"/>
    <w:multiLevelType w:val="hybridMultilevel"/>
    <w:tmpl w:val="4252C398"/>
    <w:lvl w:ilvl="0" w:tplc="6F66FA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96037"/>
    <w:multiLevelType w:val="hybridMultilevel"/>
    <w:tmpl w:val="516AA95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777CB"/>
    <w:multiLevelType w:val="multilevel"/>
    <w:tmpl w:val="0850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60779"/>
    <w:multiLevelType w:val="hybridMultilevel"/>
    <w:tmpl w:val="D0D046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01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35333"/>
    <w:rsid w:val="001455FF"/>
    <w:rsid w:val="00166D5F"/>
    <w:rsid w:val="001675EA"/>
    <w:rsid w:val="00187424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35153"/>
    <w:rsid w:val="00240497"/>
    <w:rsid w:val="002444C1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B55D8"/>
    <w:rsid w:val="002C33A7"/>
    <w:rsid w:val="002D4063"/>
    <w:rsid w:val="002E40B7"/>
    <w:rsid w:val="00304D9A"/>
    <w:rsid w:val="003258AF"/>
    <w:rsid w:val="00326AD7"/>
    <w:rsid w:val="00331C9B"/>
    <w:rsid w:val="003351AC"/>
    <w:rsid w:val="00353145"/>
    <w:rsid w:val="00354C94"/>
    <w:rsid w:val="00356823"/>
    <w:rsid w:val="003735C6"/>
    <w:rsid w:val="0037643C"/>
    <w:rsid w:val="00382B0A"/>
    <w:rsid w:val="00385222"/>
    <w:rsid w:val="003925AD"/>
    <w:rsid w:val="003A2401"/>
    <w:rsid w:val="003B2FB8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0526D"/>
    <w:rsid w:val="00407F88"/>
    <w:rsid w:val="00411B54"/>
    <w:rsid w:val="004270E2"/>
    <w:rsid w:val="00442A54"/>
    <w:rsid w:val="00446AEB"/>
    <w:rsid w:val="00446BE3"/>
    <w:rsid w:val="00450DC1"/>
    <w:rsid w:val="00454F8D"/>
    <w:rsid w:val="0046570B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66A3E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634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A37"/>
    <w:rsid w:val="00764C39"/>
    <w:rsid w:val="00765216"/>
    <w:rsid w:val="00765322"/>
    <w:rsid w:val="00773EE0"/>
    <w:rsid w:val="007766FC"/>
    <w:rsid w:val="00780323"/>
    <w:rsid w:val="00780333"/>
    <w:rsid w:val="00782F87"/>
    <w:rsid w:val="007866A8"/>
    <w:rsid w:val="00786DF5"/>
    <w:rsid w:val="007A1921"/>
    <w:rsid w:val="007A6524"/>
    <w:rsid w:val="007C0666"/>
    <w:rsid w:val="007D472B"/>
    <w:rsid w:val="007E5856"/>
    <w:rsid w:val="007F0DCC"/>
    <w:rsid w:val="007F47AD"/>
    <w:rsid w:val="008042C9"/>
    <w:rsid w:val="00813C58"/>
    <w:rsid w:val="00813D37"/>
    <w:rsid w:val="00815CC2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37FF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1B0F"/>
    <w:rsid w:val="00A44660"/>
    <w:rsid w:val="00A470D5"/>
    <w:rsid w:val="00A6046F"/>
    <w:rsid w:val="00A63FDD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4485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33C2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525AB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D7522"/>
    <w:rsid w:val="00CE4DF9"/>
    <w:rsid w:val="00CE7A80"/>
    <w:rsid w:val="00CF5188"/>
    <w:rsid w:val="00CF54DF"/>
    <w:rsid w:val="00CF69D9"/>
    <w:rsid w:val="00D00A67"/>
    <w:rsid w:val="00D00D00"/>
    <w:rsid w:val="00D01AD8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4499"/>
    <w:rsid w:val="00DB65F5"/>
    <w:rsid w:val="00DB6699"/>
    <w:rsid w:val="00DC7BC0"/>
    <w:rsid w:val="00DD11C1"/>
    <w:rsid w:val="00DD288B"/>
    <w:rsid w:val="00DD3296"/>
    <w:rsid w:val="00DD6B4B"/>
    <w:rsid w:val="00DE44C6"/>
    <w:rsid w:val="00DE516A"/>
    <w:rsid w:val="00DE5505"/>
    <w:rsid w:val="00DE7501"/>
    <w:rsid w:val="00DF0080"/>
    <w:rsid w:val="00DF6E50"/>
    <w:rsid w:val="00E11A80"/>
    <w:rsid w:val="00E327DF"/>
    <w:rsid w:val="00E33347"/>
    <w:rsid w:val="00E3381F"/>
    <w:rsid w:val="00E50617"/>
    <w:rsid w:val="00E51955"/>
    <w:rsid w:val="00E51FD3"/>
    <w:rsid w:val="00E67316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EF716E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F21"/>
  <w15:chartTrackingRefBased/>
  <w15:docId w15:val="{921961C0-1E4F-4185-9647-5EEE7506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637F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52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526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526D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52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526D"/>
    <w:rPr>
      <w:rFonts w:ascii="Trebuchet MS" w:hAnsi="Trebuchet MS" w:cs="Times New Roman"/>
      <w:b/>
      <w:bCs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304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Excel_97-2003_Worksheet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Natasha, Mag., LL.M., WKÖ Sp</dc:creator>
  <cp:keywords/>
  <dc:description/>
  <cp:lastModifiedBy>Pucher-Pacher Martin, Inhouse Media</cp:lastModifiedBy>
  <cp:revision>2</cp:revision>
  <dcterms:created xsi:type="dcterms:W3CDTF">2021-01-29T13:38:00Z</dcterms:created>
  <dcterms:modified xsi:type="dcterms:W3CDTF">2021-01-29T13:38:00Z</dcterms:modified>
</cp:coreProperties>
</file>