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856" w:rsidRPr="004A3856" w:rsidRDefault="004A3856" w:rsidP="004A3856">
      <w:pPr>
        <w:autoSpaceDE w:val="0"/>
        <w:autoSpaceDN w:val="0"/>
        <w:adjustRightInd w:val="0"/>
        <w:spacing w:before="0" w:after="0" w:line="240" w:lineRule="auto"/>
        <w:jc w:val="center"/>
        <w:rPr>
          <w:rFonts w:ascii="Verdana" w:hAnsi="Verdana" w:cs="Verdana"/>
          <w:i/>
          <w:iCs/>
          <w:sz w:val="16"/>
          <w:szCs w:val="16"/>
          <w:u w:val="single"/>
          <w:lang w:val="de-AT" w:eastAsia="en-US"/>
        </w:rPr>
      </w:pPr>
      <w:bookmarkStart w:id="0" w:name="_GoBack"/>
      <w:bookmarkEnd w:id="0"/>
      <w:r w:rsidRPr="004A3856">
        <w:rPr>
          <w:rFonts w:ascii="Verdana" w:hAnsi="Verdana" w:cs="Verdana"/>
          <w:i/>
          <w:iCs/>
          <w:sz w:val="16"/>
          <w:szCs w:val="16"/>
          <w:highlight w:val="yellow"/>
          <w:u w:val="single"/>
          <w:lang w:val="de-AT" w:eastAsia="en-US"/>
        </w:rPr>
        <w:t>Textbausteine für Tätigkeitsgebiete zu Pkt. a) „wesentliche Eigenschaften der Waren- oder Dienstleistung“</w:t>
      </w: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Elektrotechnik:</w:t>
      </w:r>
    </w:p>
    <w:p w:rsidR="004A3856" w:rsidRDefault="004A3856" w:rsidP="004A3856">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 xml:space="preserve">Planung, Installation, Inbetriebnahme, Wartung, Prüfung, Messung, Überprüfung, Reparatur und Instandsetzung von elektrischen Anlagen zur Erzeugung, Fortleitung, Umwandlung und Abgabe elektrischer Energie, sowie Erdungs- und Blitzschutzanlagen, Alarm-, Zutrittskontroll-, Videoübertragungsanlagen, elektrischen Energieverbrauchseinrichtungen, Photovoltaikanlagen, Elektroheizungen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Kommunikationstechnik:</w:t>
      </w:r>
    </w:p>
    <w:p w:rsidR="004A3856" w:rsidRDefault="004A3856" w:rsidP="004A3856">
      <w:pPr>
        <w:autoSpaceDE w:val="0"/>
        <w:autoSpaceDN w:val="0"/>
        <w:adjustRightInd w:val="0"/>
        <w:spacing w:before="0" w:after="0" w:line="240" w:lineRule="auto"/>
        <w:rPr>
          <w:rFonts w:ascii="Verdana" w:hAnsi="Verdana" w:cs="Verdana"/>
          <w:i/>
          <w:iCs/>
          <w:sz w:val="16"/>
          <w:szCs w:val="16"/>
          <w:lang w:val="de-AT" w:eastAsia="en-US"/>
        </w:rPr>
      </w:pPr>
      <w:r>
        <w:rPr>
          <w:rFonts w:ascii="Verdana" w:hAnsi="Verdana" w:cs="Verdana"/>
          <w:i/>
          <w:iCs/>
          <w:sz w:val="16"/>
          <w:szCs w:val="16"/>
          <w:lang w:val="de-AT" w:eastAsia="en-US"/>
        </w:rPr>
        <w:t xml:space="preserve">Planung, Berechnung, Bau, Installation, Inbetriebnahme, Wartung, Prüfung, Überprüfung, Reparatur und Instandsetzung von Geräten und Anlagen der Audio- und Videotechnik, Aufnahme- und Wiedergabegeräte von analogen und/oder digitalen Ton-, Bild- und Datengeräten, Sende- und Empfangseinrichtungen für Ton-, Bild- und Datenanlagen, Antennen-, </w:t>
      </w:r>
      <w:proofErr w:type="spellStart"/>
      <w:r>
        <w:rPr>
          <w:rFonts w:ascii="Verdana" w:hAnsi="Verdana" w:cs="Verdana"/>
          <w:i/>
          <w:iCs/>
          <w:sz w:val="16"/>
          <w:szCs w:val="16"/>
          <w:lang w:val="de-AT" w:eastAsia="en-US"/>
        </w:rPr>
        <w:t>Sat</w:t>
      </w:r>
      <w:proofErr w:type="spellEnd"/>
      <w:r>
        <w:rPr>
          <w:rFonts w:ascii="Verdana" w:hAnsi="Verdana" w:cs="Verdana"/>
          <w:i/>
          <w:iCs/>
          <w:sz w:val="16"/>
          <w:szCs w:val="16"/>
          <w:lang w:val="de-AT" w:eastAsia="en-US"/>
        </w:rPr>
        <w:t xml:space="preserve">-, Kabelfernsehanlagen, EDV-Anlagen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4A3856" w:rsidRDefault="004A3856" w:rsidP="004A3856">
      <w:pPr>
        <w:autoSpaceDE w:val="0"/>
        <w:autoSpaceDN w:val="0"/>
        <w:adjustRightInd w:val="0"/>
        <w:spacing w:before="0" w:after="0" w:line="240" w:lineRule="auto"/>
        <w:rPr>
          <w:rFonts w:ascii="Verdana" w:hAnsi="Verdana" w:cs="Verdana"/>
          <w:i/>
          <w:i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Mechatroniker für Maschinen- und Fertigungstechnik:</w:t>
      </w:r>
    </w:p>
    <w:p w:rsidR="004A3856" w:rsidRDefault="004A3856" w:rsidP="004A3856">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Planung, Herstellung, Instandsetzung, Instandhaltung und Prüfung von Spezialmaschinen, Geräten, Apparaten und Steuerungen für die Be- und Verarbeitung von Metall-, Holz-, Stein-, Textilien- und Lederprodukten sowie pharmazeutischen Produkten und Lebensmittel, Mess-, Präzisionswerkzeugen und –</w:t>
      </w:r>
      <w:proofErr w:type="spellStart"/>
      <w:r>
        <w:rPr>
          <w:rFonts w:ascii="Verdana" w:hAnsi="Verdana" w:cs="Verdana"/>
          <w:i/>
          <w:iCs/>
          <w:sz w:val="16"/>
          <w:szCs w:val="16"/>
          <w:lang w:val="de-AT" w:eastAsia="en-US"/>
        </w:rPr>
        <w:t>geräten</w:t>
      </w:r>
      <w:proofErr w:type="spellEnd"/>
      <w:r>
        <w:rPr>
          <w:rFonts w:ascii="Verdana" w:hAnsi="Verdana" w:cs="Verdana"/>
          <w:i/>
          <w:iCs/>
          <w:sz w:val="16"/>
          <w:szCs w:val="16"/>
          <w:lang w:val="de-AT" w:eastAsia="en-US"/>
        </w:rPr>
        <w:t xml:space="preserve">, Lehren, Schablonen und Waagen, Feingeräten, Feininstrumenten, Kleinmechanismen und Kleinapparaturen wie Lehr- und Anschauungsmodellen, Analyse-, Prüf-, Mess-, Feinmess- und Überwachungsgeräten für technisch-wissenschaftliche Zwecke sowie optischen, nautischen und geodätischen Instrumenten und Apparaten sowie Fein- und Präzisionswaagen aller Art, sowie Fahrrädern, Krafträdern bis 150 ccm und motorgetriebenen Geräten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4A3856" w:rsidRDefault="004A3856" w:rsidP="004A3856">
      <w:pPr>
        <w:autoSpaceDE w:val="0"/>
        <w:autoSpaceDN w:val="0"/>
        <w:adjustRightInd w:val="0"/>
        <w:spacing w:before="0" w:after="0" w:line="240" w:lineRule="auto"/>
        <w:rPr>
          <w:rFonts w:ascii="Verdana" w:hAnsi="Verdana" w:cs="Verdana"/>
          <w:i/>
          <w:i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Mechatroniker für Elektronik, Büro- und EDV-Systemtechnik:</w:t>
      </w:r>
    </w:p>
    <w:p w:rsidR="004A3856" w:rsidRDefault="004A3856" w:rsidP="004A3856">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 xml:space="preserve">Aufstellung und Inbetriebsetzung von mechanischen, elektromechanischen, elektrischen und elektronischen Maschinen, Anlagen und Geräten der Büro- und Datentechnik, Planung, Herstellung, Montage, Wartung, Entstörung und Instandsetzung von elektromechanischen und elektronischen Anlagen, Geräten und Baugruppen, insbesondere der Regelungs-, Steuerungs-, Schalt-, Mess-, Prüf-, Zähl-, Signal-, und Sicherungstechnik und für medizin-, labor-, gewerbe- und haushaltstechnische Zwecke, sowie Entwurf, Konstruktion, Bau, Inbetriebnahme, Entstörung, Wartung und Instandsetzung von elektrischen und elektronischen Maschinen, Transformatoren, Magnetbauteilen und Anlagen sowie Steuer- und Regelgeräten der Stromerzeugung, der Schweiß- und Antriebstechnik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4A3856" w:rsidRDefault="004A3856" w:rsidP="004A3856">
      <w:pPr>
        <w:autoSpaceDE w:val="0"/>
        <w:autoSpaceDN w:val="0"/>
        <w:adjustRightInd w:val="0"/>
        <w:spacing w:before="0" w:after="0" w:line="240" w:lineRule="auto"/>
        <w:rPr>
          <w:rFonts w:ascii="Verdana" w:hAnsi="Verdana" w:cs="Verdana"/>
          <w:i/>
          <w:i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Mechatroniker für Elektromaschinenbau und Automatisierung:</w:t>
      </w:r>
    </w:p>
    <w:p w:rsidR="004A3856" w:rsidRDefault="004A3856" w:rsidP="004A3856">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 xml:space="preserve">Planung, Herstellung, Montage, Prüfung, Überprüfung, Wartung, Entstörung und Instandsetzung, Entwurf, Bau von elektromechanischen und elektronischen Anlagen, Geräten und Baugruppen, Regelungs-, Steuerungs-, Schalt-, Mess-, Prüf-, Zähl-, Signal-, und Sicherungstechnik für medizin-, labor-, gewerbe- und haushaltstechnische Zwecke, elektrischen und elektronischen Maschinen, Transformatoren, Magnetbauteilen und Anlagen, Steuer- und Regelgeräten der Stromerzeugung, sowie Schweiß- und Antriebstechnik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Mechatroniker für Medizingerätetechnik:</w:t>
      </w:r>
    </w:p>
    <w:p w:rsidR="004A3856" w:rsidRDefault="004A3856" w:rsidP="004A3856">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 xml:space="preserve">Planung, Herstellung, Instandsetzung, Instandhaltung und Prüfung von Rehabilitationstechnikgeräten, Behandlungsgeräte, Diagnosegeräte sowie Laborgeräte der Medizingerätetechnik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Kälte- und Klimatechnik:</w:t>
      </w:r>
    </w:p>
    <w:p w:rsidR="004A3856" w:rsidRPr="004A3856" w:rsidRDefault="004A3856" w:rsidP="004A3856">
      <w:pPr>
        <w:autoSpaceDE w:val="0"/>
        <w:autoSpaceDN w:val="0"/>
        <w:adjustRightInd w:val="0"/>
        <w:spacing w:before="0" w:after="0" w:line="240" w:lineRule="auto"/>
        <w:jc w:val="both"/>
        <w:rPr>
          <w:rFonts w:ascii="Verdana" w:hAnsi="Verdana" w:cs="Verdana"/>
          <w:b/>
          <w:bCs/>
          <w:sz w:val="16"/>
          <w:szCs w:val="16"/>
          <w:lang w:val="de-AT" w:eastAsia="en-US"/>
        </w:rPr>
      </w:pPr>
      <w:r w:rsidRPr="004A3856">
        <w:rPr>
          <w:rFonts w:ascii="Verdana" w:hAnsi="Verdana" w:cs="Verdana"/>
          <w:bCs/>
          <w:sz w:val="16"/>
          <w:szCs w:val="16"/>
          <w:lang w:val="de-AT" w:eastAsia="en-US"/>
        </w:rPr>
        <w:t>Planung</w:t>
      </w:r>
      <w:r>
        <w:rPr>
          <w:rFonts w:ascii="Verdana" w:hAnsi="Verdana" w:cs="Verdana"/>
          <w:i/>
          <w:iCs/>
          <w:sz w:val="16"/>
          <w:szCs w:val="16"/>
          <w:lang w:val="de-AT" w:eastAsia="en-US"/>
        </w:rPr>
        <w:t>, Erzeugung, Inbetriebnahme, Wartung und Reparatur von Kälteanlagen und kältetechnischen Einrichtungen für Lebensmittelkühl-</w:t>
      </w:r>
      <w:r>
        <w:rPr>
          <w:rFonts w:ascii="Verdana" w:hAnsi="Verdana" w:cs="Verdana"/>
          <w:b/>
          <w:bCs/>
          <w:sz w:val="16"/>
          <w:szCs w:val="16"/>
          <w:lang w:val="de-AT" w:eastAsia="en-US"/>
        </w:rPr>
        <w:t xml:space="preserve"> </w:t>
      </w:r>
      <w:r>
        <w:rPr>
          <w:rFonts w:ascii="Verdana" w:hAnsi="Verdana" w:cs="Verdana"/>
          <w:i/>
          <w:iCs/>
          <w:sz w:val="16"/>
          <w:szCs w:val="16"/>
          <w:lang w:val="de-AT" w:eastAsia="en-US"/>
        </w:rPr>
        <w:t>und Tiefkühlanlagen, verfahrenstechnische und produktionstechnische Anlagen, Transportkühlung auf Schiene, Straße, Wasser</w:t>
      </w:r>
      <w:r>
        <w:rPr>
          <w:rFonts w:ascii="Verdana" w:hAnsi="Verdana" w:cs="Verdana"/>
          <w:b/>
          <w:bCs/>
          <w:sz w:val="16"/>
          <w:szCs w:val="16"/>
          <w:lang w:val="de-AT" w:eastAsia="en-US"/>
        </w:rPr>
        <w:t xml:space="preserve"> </w:t>
      </w:r>
      <w:r>
        <w:rPr>
          <w:rFonts w:ascii="Verdana" w:hAnsi="Verdana" w:cs="Verdana"/>
          <w:i/>
          <w:iCs/>
          <w:sz w:val="16"/>
          <w:szCs w:val="16"/>
          <w:lang w:val="de-AT" w:eastAsia="en-US"/>
        </w:rPr>
        <w:t xml:space="preserve">und Luft, Klimaanlagen in Gebäuden und Kraftfahrzeugen, Wärmepumpenanlagen, Wärmerückgewinnungsanlagen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Gas- und Sanitärtechnik:</w:t>
      </w:r>
    </w:p>
    <w:p w:rsidR="004A3856" w:rsidRDefault="004A3856" w:rsidP="004A3856">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 xml:space="preserve">Planung, Installation, Inbetriebnahme, Wartung, Überprüfung, Montage, Reparatur und Instandsetzung von Trink-, Nutz- und Abwasseranlagen sowie Feuerlöschanlagen, Wasseranlagen für Wohnbau, Industrie, Gewerbe, medizinische Zwecke und Versorgungs- und Sonderanlagen, sanitäre Einrichtungen, sanitäre Einrichtungsgegenstände und Anlagen, Wasseraufbereitungsanlagen und Regenwassernutzungsanlagen, Druck-erhöhungsanlagen, Anlagen zur Erwärmung von Trink- und Nutzwasser, auch unter Verwendung erneuerbarer Energie wie z.B. Solar oder Wärmepumpen, Gasanlagen und Abgasanlagen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Heizungstechnik:</w:t>
      </w:r>
    </w:p>
    <w:p w:rsidR="004A3856" w:rsidRDefault="004A3856" w:rsidP="004A3856">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Planung, Installation, Inbetriebnahme, Wartung, Überprüfung, Montage, Reparatur und Instandsetzung von Warmwasser-, Heizungsanlagen und Heißwasseranlagen, Niederdruck- und Hochdruckdampfanlagen, Warmwasserbereitungsanlagen, Feuerungsanlagen für gasförmige, flüssige und feste Brennstoffe und Einbau der dazugehörigen Abgasanlagen, Nutzung erneuerbarer Energieformen z.B. Solarwärmesysteme, Wärmepumpen und oberflächennahe geothermische Systeme und Biomassekessel und –</w:t>
      </w:r>
      <w:proofErr w:type="spellStart"/>
      <w:r>
        <w:rPr>
          <w:rFonts w:ascii="Verdana" w:hAnsi="Verdana" w:cs="Verdana"/>
          <w:i/>
          <w:iCs/>
          <w:sz w:val="16"/>
          <w:szCs w:val="16"/>
          <w:lang w:val="de-AT" w:eastAsia="en-US"/>
        </w:rPr>
        <w:t>öfen</w:t>
      </w:r>
      <w:proofErr w:type="spellEnd"/>
      <w:r>
        <w:rPr>
          <w:rFonts w:ascii="Verdana" w:hAnsi="Verdana" w:cs="Verdana"/>
          <w:i/>
          <w:iCs/>
          <w:sz w:val="16"/>
          <w:szCs w:val="16"/>
          <w:lang w:val="de-AT" w:eastAsia="en-US"/>
        </w:rPr>
        <w:t xml:space="preserve">, Einbau von Kraft-Wärmekoppelungen, Rohrleitungssystemen und sonstigen Einrichtungen für sämtliche Heizungsanlagen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Lüftungstechnik:</w:t>
      </w:r>
    </w:p>
    <w:p w:rsidR="004A3856" w:rsidRDefault="004A3856" w:rsidP="004A3856">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 xml:space="preserve">Planung, Installation, Inbetriebnahme, Wartung, Überprüfung, Montage, Reparatur und Instandsetzung von Lüftungsanlagen, Be- und Entlüftungen und Luftaufbereitungen, Klimaanlagen, Klimaeinzelgeräte und deren Kälteanlagenteile und Systeme, Luftheizungen und Luftkühlungen, Wärmerückgewinnung, Nutzung erneuerbarer Energieformen für Lüftungs- und Klimaanlagen, Herstellen und Einbau der Lüftungsgeräte, Luftleitungen, Luftsysteme und Abgasanlagen für Luftheizungen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B36128" w:rsidRDefault="00B36128" w:rsidP="004A3856">
      <w:pPr>
        <w:autoSpaceDE w:val="0"/>
        <w:autoSpaceDN w:val="0"/>
        <w:adjustRightInd w:val="0"/>
        <w:spacing w:before="0" w:after="0" w:line="240" w:lineRule="auto"/>
        <w:rPr>
          <w:rFonts w:ascii="Verdana" w:hAnsi="Verdana" w:cs="Verdana"/>
          <w:b/>
          <w:b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Metalltechnik für Metall- und Maschinenbau:</w:t>
      </w:r>
    </w:p>
    <w:p w:rsidR="004A3856" w:rsidRDefault="004A3856" w:rsidP="004A3856">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 xml:space="preserve">Herstellung von Konstruktionen des Stahl- und Metallbaues, Entwurf und Bau von vorgehängten Kalt- und Warmfassaden, Schaufenstern und Eingangsanlagen sowie von Wänden und Decken bei vorwiegender Verwendung von Stahl, Nichteisenmetallen und Kunststoffen, Herstellung und Einbau von Fenstern, Türen, Toren, Geländern und Rollgittern aus Stahl, Nichteisenmetallen und Kunststoffen sowie von Beschlägen und Diebstahl- und Einbruchsicherungen, Entwurf und Gestaltung von </w:t>
      </w:r>
      <w:proofErr w:type="spellStart"/>
      <w:r>
        <w:rPr>
          <w:rFonts w:ascii="Verdana" w:hAnsi="Verdana" w:cs="Verdana"/>
          <w:i/>
          <w:iCs/>
          <w:sz w:val="16"/>
          <w:szCs w:val="16"/>
          <w:lang w:val="de-AT" w:eastAsia="en-US"/>
        </w:rPr>
        <w:t>kunstschlosserischen</w:t>
      </w:r>
      <w:proofErr w:type="spellEnd"/>
      <w:r>
        <w:rPr>
          <w:rFonts w:ascii="Verdana" w:hAnsi="Verdana" w:cs="Verdana"/>
          <w:i/>
          <w:iCs/>
          <w:sz w:val="16"/>
          <w:szCs w:val="16"/>
          <w:lang w:val="de-AT" w:eastAsia="en-US"/>
        </w:rPr>
        <w:t xml:space="preserve"> Arbeiten, Instandsetzung von Motorrädern mit einem Hubraum von nicht mehr als 150 cm³ sowie von Motorfahrrädern, sowie Herstellung und Reparatur von Schlössern und Schlüsseln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Metalltechnik für Schmiede und Fahrzeugbau:</w:t>
      </w:r>
    </w:p>
    <w:p w:rsidR="004A3856" w:rsidRDefault="004A3856" w:rsidP="004A3856">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 xml:space="preserve">Herstellen von Schmiede, einschließlich Bauschmiedeerzeugnisse, Entwurf und Ausführung von Kunstschmiedearbeiten, Restaurierung von historischen Schmiedeeisen und Metallarbeiten, Herstellen von Behältern, Apparaten und Einrichtungen für gewerbliche und industrielle Zwecke, Entwurf und Herstellung von Nutzfahrzeugen aller Art einschließlich Aufbauten, sowie Einbau von Lastkränen und Zusatzeinrichtungen, insbesondere von Ladevorrichtungen und Federungselementen sowie Wartung von Schleppern, Instandsetzung von Anlagen und Maschinen der Land-, Forst- und Gartentechnik, Herstellen und Instandsetzen von Druckgefäßen (Dampfkessel, Dampfgefäße oder ähnliche Gefäße) oder Druckbehälter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Metalltechnik für Land- und Baumaschinen:</w:t>
      </w:r>
    </w:p>
    <w:p w:rsidR="004A3856" w:rsidRPr="004A3856" w:rsidRDefault="004A3856" w:rsidP="004A3856">
      <w:pPr>
        <w:autoSpaceDE w:val="0"/>
        <w:autoSpaceDN w:val="0"/>
        <w:adjustRightInd w:val="0"/>
        <w:spacing w:before="0" w:after="0" w:line="240" w:lineRule="auto"/>
        <w:jc w:val="both"/>
        <w:rPr>
          <w:rFonts w:ascii="Verdana" w:hAnsi="Verdana" w:cs="Verdana"/>
          <w:b/>
          <w:bCs/>
          <w:sz w:val="16"/>
          <w:szCs w:val="16"/>
          <w:lang w:val="de-AT" w:eastAsia="en-US"/>
        </w:rPr>
      </w:pPr>
      <w:r w:rsidRPr="004A3856">
        <w:rPr>
          <w:rFonts w:ascii="Verdana" w:hAnsi="Verdana" w:cs="Verdana"/>
          <w:bCs/>
          <w:sz w:val="16"/>
          <w:szCs w:val="16"/>
          <w:lang w:val="de-AT" w:eastAsia="en-US"/>
        </w:rPr>
        <w:t>Bearbeitung</w:t>
      </w:r>
      <w:r>
        <w:rPr>
          <w:rFonts w:ascii="Verdana" w:hAnsi="Verdana" w:cs="Verdana"/>
          <w:i/>
          <w:iCs/>
          <w:sz w:val="16"/>
          <w:szCs w:val="16"/>
          <w:lang w:val="de-AT" w:eastAsia="en-US"/>
        </w:rPr>
        <w:t xml:space="preserve"> von Stahl, Aluminium, Kunststoffen, Sondermetallen und Nichteisenmetallen, Wartung und Instandsetzung von Fahrzeugen,</w:t>
      </w:r>
      <w:r>
        <w:rPr>
          <w:rFonts w:ascii="Verdana" w:hAnsi="Verdana" w:cs="Verdana"/>
          <w:b/>
          <w:bCs/>
          <w:sz w:val="16"/>
          <w:szCs w:val="16"/>
          <w:lang w:val="de-AT" w:eastAsia="en-US"/>
        </w:rPr>
        <w:t xml:space="preserve"> </w:t>
      </w:r>
      <w:r>
        <w:rPr>
          <w:rFonts w:ascii="Verdana" w:hAnsi="Verdana" w:cs="Verdana"/>
          <w:i/>
          <w:iCs/>
          <w:sz w:val="16"/>
          <w:szCs w:val="16"/>
          <w:lang w:val="de-AT" w:eastAsia="en-US"/>
        </w:rPr>
        <w:t>Werkzeugen, Geräten, Maschinen und Anlagen der Land-, Forst- und Kommunalwirtschaft sowie der Gartentechnik und von</w:t>
      </w:r>
      <w:r>
        <w:rPr>
          <w:rFonts w:ascii="Verdana" w:hAnsi="Verdana" w:cs="Verdana"/>
          <w:b/>
          <w:bCs/>
          <w:sz w:val="16"/>
          <w:szCs w:val="16"/>
          <w:lang w:val="de-AT" w:eastAsia="en-US"/>
        </w:rPr>
        <w:t xml:space="preserve"> </w:t>
      </w:r>
      <w:r>
        <w:rPr>
          <w:rFonts w:ascii="Verdana" w:hAnsi="Verdana" w:cs="Verdana"/>
          <w:i/>
          <w:iCs/>
          <w:sz w:val="16"/>
          <w:szCs w:val="16"/>
          <w:lang w:val="de-AT" w:eastAsia="en-US"/>
        </w:rPr>
        <w:t>Baumaschinen leichter Bauart, Planung und Herstellung von Werkzeugen, Geräten und Maschinen für die Land- und Forsttechnik und</w:t>
      </w:r>
      <w:r>
        <w:rPr>
          <w:rFonts w:ascii="Verdana" w:hAnsi="Verdana" w:cs="Verdana"/>
          <w:b/>
          <w:bCs/>
          <w:sz w:val="16"/>
          <w:szCs w:val="16"/>
          <w:lang w:val="de-AT" w:eastAsia="en-US"/>
        </w:rPr>
        <w:t xml:space="preserve"> </w:t>
      </w:r>
      <w:r>
        <w:rPr>
          <w:rFonts w:ascii="Verdana" w:hAnsi="Verdana" w:cs="Verdana"/>
          <w:i/>
          <w:iCs/>
          <w:sz w:val="16"/>
          <w:szCs w:val="16"/>
          <w:lang w:val="de-AT" w:eastAsia="en-US"/>
        </w:rPr>
        <w:t xml:space="preserve">die Kommunalwirtschaft, Wiederkehrende Begutachtung von Fahrzeugen nach § 57a KFG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Oberflächentechnik:</w:t>
      </w:r>
    </w:p>
    <w:p w:rsidR="004A3856" w:rsidRDefault="004A3856" w:rsidP="004A3856">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 xml:space="preserve">Oberflächenbehandlung von metallischen und nichtmetallischen Werkstücken durch mechanische, chemische und elektrochemische Verfahren zu dekorativen Zwecken oder zur Erzielung bestimmter Eigenschaften, Metallschleifen und Polieren, Galvanisieren zur Herstellung von Metallüberzügen wie z.B. Vernickeln, Verchromen, Verzinnen, Verzinken, Verkupfern, Versilbern und Vergolden, Eloxieren von Aluminium, Anwendung der Galvanoplastik bei nichtmetallischen Werkstoffen wie Holz, keramische Werkstoffe und Kunststoffe, Emaillierung von Metallgegenständen unterschiedlicher Art und Werkstoffe oder Pulverbeschichtung und Feuerverzinkung von Metallgegenständen unterschiedlicher Art und Werkstoffe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Waffengewerbe:</w:t>
      </w:r>
    </w:p>
    <w:p w:rsidR="004A3856" w:rsidRPr="004A3856" w:rsidRDefault="004A3856" w:rsidP="004A3856">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 xml:space="preserve">Reparatur von Jagd- und Sportwaffen, Veränderung (Veredelung) von </w:t>
      </w:r>
      <w:proofErr w:type="spellStart"/>
      <w:r>
        <w:rPr>
          <w:rFonts w:ascii="Verdana" w:hAnsi="Verdana" w:cs="Verdana"/>
          <w:i/>
          <w:iCs/>
          <w:sz w:val="16"/>
          <w:szCs w:val="16"/>
          <w:lang w:val="de-AT" w:eastAsia="en-US"/>
        </w:rPr>
        <w:t>fabriksgefertigten</w:t>
      </w:r>
      <w:proofErr w:type="spellEnd"/>
      <w:r>
        <w:rPr>
          <w:rFonts w:ascii="Verdana" w:hAnsi="Verdana" w:cs="Verdana"/>
          <w:i/>
          <w:iCs/>
          <w:sz w:val="16"/>
          <w:szCs w:val="16"/>
          <w:lang w:val="de-AT" w:eastAsia="en-US"/>
        </w:rPr>
        <w:t xml:space="preserve"> Waffen (Schaftveränderung, Gravur u.a.), Verkauf von neuen und gebrauchten Waffen (Jagd-, Sport- und Faustfeuerwaffen)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sectPr w:rsidR="004A3856" w:rsidRPr="004A3856" w:rsidSect="00B36128">
      <w:footerReference w:type="default" r:id="rId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ACB" w:rsidRDefault="00012ACB" w:rsidP="00DF37C9">
      <w:pPr>
        <w:spacing w:before="0" w:after="0" w:line="240" w:lineRule="auto"/>
      </w:pPr>
      <w:r>
        <w:separator/>
      </w:r>
    </w:p>
  </w:endnote>
  <w:endnote w:type="continuationSeparator" w:id="0">
    <w:p w:rsidR="00012ACB" w:rsidRDefault="00012ACB" w:rsidP="00DF37C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128" w:rsidRPr="005A0EA4" w:rsidRDefault="00B36128" w:rsidP="00B36128">
    <w:pPr>
      <w:pStyle w:val="Fuzeile"/>
      <w:jc w:val="both"/>
      <w:rPr>
        <w:rFonts w:ascii="Verdana" w:hAnsi="Verdana"/>
        <w:sz w:val="12"/>
        <w:szCs w:val="12"/>
      </w:rPr>
    </w:pPr>
    <w:r w:rsidRPr="005A0EA4">
      <w:rPr>
        <w:rFonts w:ascii="Verdana" w:hAnsi="Verdana"/>
        <w:color w:val="272D2E"/>
        <w:sz w:val="12"/>
        <w:szCs w:val="12"/>
      </w:rPr>
      <w:t>Alle Angaben erfolgen trotz sorgfältigster Bearbeitung ohne Gewähr. Eine Haftung des Autors, des Herausgebers oder der Wirtschaftskammern Österreichs ist ausgeschlossen. Es handelt sich um eine exemplarische Aufzählung von Tätigkeitsbereichen, die beliebig entsprechend des jeweiligen Geschäftsfeldes ergänzt werden kann.</w:t>
    </w:r>
  </w:p>
  <w:p w:rsidR="00DF37C9" w:rsidRDefault="00DF37C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ACB" w:rsidRDefault="00012ACB" w:rsidP="00DF37C9">
      <w:pPr>
        <w:spacing w:before="0" w:after="0" w:line="240" w:lineRule="auto"/>
      </w:pPr>
      <w:r>
        <w:separator/>
      </w:r>
    </w:p>
  </w:footnote>
  <w:footnote w:type="continuationSeparator" w:id="0">
    <w:p w:rsidR="00012ACB" w:rsidRDefault="00012ACB" w:rsidP="00DF37C9">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856"/>
    <w:rsid w:val="00012ACB"/>
    <w:rsid w:val="000636CF"/>
    <w:rsid w:val="004A3856"/>
    <w:rsid w:val="005A0EA4"/>
    <w:rsid w:val="009911D1"/>
    <w:rsid w:val="00B36128"/>
    <w:rsid w:val="00CD69CB"/>
    <w:rsid w:val="00DF37C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636CF"/>
    <w:pPr>
      <w:spacing w:before="120" w:after="360"/>
    </w:pPr>
    <w:rPr>
      <w:rFonts w:ascii="Trebuchet MS" w:hAnsi="Trebuchet MS"/>
      <w:szCs w:val="20"/>
      <w:lang w:val="de-DE" w:eastAsia="de-DE"/>
    </w:rPr>
  </w:style>
  <w:style w:type="paragraph" w:styleId="berschrift1">
    <w:name w:val="heading 1"/>
    <w:next w:val="Standard"/>
    <w:link w:val="berschrift1Zchn"/>
    <w:qFormat/>
    <w:rsid w:val="000636CF"/>
    <w:pPr>
      <w:widowControl w:val="0"/>
      <w:spacing w:after="480"/>
      <w:outlineLvl w:val="0"/>
    </w:pPr>
    <w:rPr>
      <w:rFonts w:ascii="Trebuchet MS" w:hAnsi="Trebuchet MS" w:cs="Times New Roman"/>
      <w:b/>
      <w:color w:val="C00000"/>
      <w:kern w:val="28"/>
      <w:sz w:val="36"/>
      <w:szCs w:val="20"/>
      <w:lang w:val="de-DE" w:eastAsia="de-DE"/>
    </w:rPr>
  </w:style>
  <w:style w:type="paragraph" w:styleId="berschrift2">
    <w:name w:val="heading 2"/>
    <w:next w:val="Standard"/>
    <w:link w:val="berschrift2Zchn"/>
    <w:qFormat/>
    <w:rsid w:val="000636CF"/>
    <w:pPr>
      <w:widowControl w:val="0"/>
      <w:spacing w:before="120"/>
      <w:outlineLvl w:val="1"/>
    </w:pPr>
    <w:rPr>
      <w:rFonts w:ascii="Trebuchet MS" w:hAnsi="Trebuchet MS" w:cs="Times New Roman"/>
      <w:caps/>
      <w:sz w:val="24"/>
      <w:szCs w:val="20"/>
      <w:lang w:val="de-DE" w:eastAsia="de-DE"/>
    </w:rPr>
  </w:style>
  <w:style w:type="paragraph" w:styleId="berschrift3">
    <w:name w:val="heading 3"/>
    <w:basedOn w:val="Standard"/>
    <w:next w:val="Standard"/>
    <w:link w:val="berschrift3Zchn"/>
    <w:qFormat/>
    <w:rsid w:val="000636CF"/>
    <w:pPr>
      <w:keepNext/>
      <w:spacing w:before="240" w:after="240"/>
      <w:outlineLvl w:val="2"/>
    </w:pPr>
    <w:rPr>
      <w:rFonts w:ascii="Optima" w:hAnsi="Optima" w:cs="Times New Roman"/>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636CF"/>
    <w:rPr>
      <w:rFonts w:ascii="Trebuchet MS" w:hAnsi="Trebuchet MS" w:cs="Times New Roman"/>
      <w:b/>
      <w:color w:val="C00000"/>
      <w:kern w:val="28"/>
      <w:sz w:val="36"/>
      <w:szCs w:val="20"/>
      <w:lang w:val="de-DE" w:eastAsia="de-DE"/>
    </w:rPr>
  </w:style>
  <w:style w:type="character" w:customStyle="1" w:styleId="berschrift2Zchn">
    <w:name w:val="Überschrift 2 Zchn"/>
    <w:basedOn w:val="Absatz-Standardschriftart"/>
    <w:link w:val="berschrift2"/>
    <w:rsid w:val="000636CF"/>
    <w:rPr>
      <w:rFonts w:ascii="Trebuchet MS" w:hAnsi="Trebuchet MS" w:cs="Times New Roman"/>
      <w:caps/>
      <w:sz w:val="24"/>
      <w:szCs w:val="20"/>
      <w:lang w:val="de-DE" w:eastAsia="de-DE"/>
    </w:rPr>
  </w:style>
  <w:style w:type="character" w:customStyle="1" w:styleId="berschrift3Zchn">
    <w:name w:val="Überschrift 3 Zchn"/>
    <w:basedOn w:val="Absatz-Standardschriftart"/>
    <w:link w:val="berschrift3"/>
    <w:rsid w:val="000636CF"/>
    <w:rPr>
      <w:rFonts w:ascii="Optima" w:hAnsi="Optima" w:cs="Times New Roman"/>
      <w:b/>
      <w:sz w:val="28"/>
      <w:szCs w:val="20"/>
      <w:lang w:val="de-DE" w:eastAsia="de-DE"/>
    </w:rPr>
  </w:style>
  <w:style w:type="paragraph" w:styleId="Listenabsatz">
    <w:name w:val="List Paragraph"/>
    <w:basedOn w:val="Standard"/>
    <w:uiPriority w:val="34"/>
    <w:qFormat/>
    <w:rsid w:val="000636CF"/>
    <w:pPr>
      <w:ind w:left="720"/>
      <w:contextualSpacing/>
    </w:pPr>
    <w:rPr>
      <w:rFonts w:cs="Times New Roman"/>
    </w:rPr>
  </w:style>
  <w:style w:type="paragraph" w:styleId="Kopfzeile">
    <w:name w:val="header"/>
    <w:basedOn w:val="Standard"/>
    <w:link w:val="KopfzeileZchn"/>
    <w:uiPriority w:val="99"/>
    <w:unhideWhenUsed/>
    <w:rsid w:val="00DF37C9"/>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DF37C9"/>
    <w:rPr>
      <w:rFonts w:ascii="Trebuchet MS" w:hAnsi="Trebuchet MS"/>
      <w:szCs w:val="20"/>
      <w:lang w:val="de-DE" w:eastAsia="de-DE"/>
    </w:rPr>
  </w:style>
  <w:style w:type="paragraph" w:styleId="Fuzeile">
    <w:name w:val="footer"/>
    <w:basedOn w:val="Standard"/>
    <w:link w:val="FuzeileZchn"/>
    <w:uiPriority w:val="99"/>
    <w:unhideWhenUsed/>
    <w:rsid w:val="00DF37C9"/>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DF37C9"/>
    <w:rPr>
      <w:rFonts w:ascii="Trebuchet MS" w:hAnsi="Trebuchet MS"/>
      <w:szCs w:val="2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636CF"/>
    <w:pPr>
      <w:spacing w:before="120" w:after="360"/>
    </w:pPr>
    <w:rPr>
      <w:rFonts w:ascii="Trebuchet MS" w:hAnsi="Trebuchet MS"/>
      <w:szCs w:val="20"/>
      <w:lang w:val="de-DE" w:eastAsia="de-DE"/>
    </w:rPr>
  </w:style>
  <w:style w:type="paragraph" w:styleId="berschrift1">
    <w:name w:val="heading 1"/>
    <w:next w:val="Standard"/>
    <w:link w:val="berschrift1Zchn"/>
    <w:qFormat/>
    <w:rsid w:val="000636CF"/>
    <w:pPr>
      <w:widowControl w:val="0"/>
      <w:spacing w:after="480"/>
      <w:outlineLvl w:val="0"/>
    </w:pPr>
    <w:rPr>
      <w:rFonts w:ascii="Trebuchet MS" w:hAnsi="Trebuchet MS" w:cs="Times New Roman"/>
      <w:b/>
      <w:color w:val="C00000"/>
      <w:kern w:val="28"/>
      <w:sz w:val="36"/>
      <w:szCs w:val="20"/>
      <w:lang w:val="de-DE" w:eastAsia="de-DE"/>
    </w:rPr>
  </w:style>
  <w:style w:type="paragraph" w:styleId="berschrift2">
    <w:name w:val="heading 2"/>
    <w:next w:val="Standard"/>
    <w:link w:val="berschrift2Zchn"/>
    <w:qFormat/>
    <w:rsid w:val="000636CF"/>
    <w:pPr>
      <w:widowControl w:val="0"/>
      <w:spacing w:before="120"/>
      <w:outlineLvl w:val="1"/>
    </w:pPr>
    <w:rPr>
      <w:rFonts w:ascii="Trebuchet MS" w:hAnsi="Trebuchet MS" w:cs="Times New Roman"/>
      <w:caps/>
      <w:sz w:val="24"/>
      <w:szCs w:val="20"/>
      <w:lang w:val="de-DE" w:eastAsia="de-DE"/>
    </w:rPr>
  </w:style>
  <w:style w:type="paragraph" w:styleId="berschrift3">
    <w:name w:val="heading 3"/>
    <w:basedOn w:val="Standard"/>
    <w:next w:val="Standard"/>
    <w:link w:val="berschrift3Zchn"/>
    <w:qFormat/>
    <w:rsid w:val="000636CF"/>
    <w:pPr>
      <w:keepNext/>
      <w:spacing w:before="240" w:after="240"/>
      <w:outlineLvl w:val="2"/>
    </w:pPr>
    <w:rPr>
      <w:rFonts w:ascii="Optima" w:hAnsi="Optima" w:cs="Times New Roman"/>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636CF"/>
    <w:rPr>
      <w:rFonts w:ascii="Trebuchet MS" w:hAnsi="Trebuchet MS" w:cs="Times New Roman"/>
      <w:b/>
      <w:color w:val="C00000"/>
      <w:kern w:val="28"/>
      <w:sz w:val="36"/>
      <w:szCs w:val="20"/>
      <w:lang w:val="de-DE" w:eastAsia="de-DE"/>
    </w:rPr>
  </w:style>
  <w:style w:type="character" w:customStyle="1" w:styleId="berschrift2Zchn">
    <w:name w:val="Überschrift 2 Zchn"/>
    <w:basedOn w:val="Absatz-Standardschriftart"/>
    <w:link w:val="berschrift2"/>
    <w:rsid w:val="000636CF"/>
    <w:rPr>
      <w:rFonts w:ascii="Trebuchet MS" w:hAnsi="Trebuchet MS" w:cs="Times New Roman"/>
      <w:caps/>
      <w:sz w:val="24"/>
      <w:szCs w:val="20"/>
      <w:lang w:val="de-DE" w:eastAsia="de-DE"/>
    </w:rPr>
  </w:style>
  <w:style w:type="character" w:customStyle="1" w:styleId="berschrift3Zchn">
    <w:name w:val="Überschrift 3 Zchn"/>
    <w:basedOn w:val="Absatz-Standardschriftart"/>
    <w:link w:val="berschrift3"/>
    <w:rsid w:val="000636CF"/>
    <w:rPr>
      <w:rFonts w:ascii="Optima" w:hAnsi="Optima" w:cs="Times New Roman"/>
      <w:b/>
      <w:sz w:val="28"/>
      <w:szCs w:val="20"/>
      <w:lang w:val="de-DE" w:eastAsia="de-DE"/>
    </w:rPr>
  </w:style>
  <w:style w:type="paragraph" w:styleId="Listenabsatz">
    <w:name w:val="List Paragraph"/>
    <w:basedOn w:val="Standard"/>
    <w:uiPriority w:val="34"/>
    <w:qFormat/>
    <w:rsid w:val="000636CF"/>
    <w:pPr>
      <w:ind w:left="720"/>
      <w:contextualSpacing/>
    </w:pPr>
    <w:rPr>
      <w:rFonts w:cs="Times New Roman"/>
    </w:rPr>
  </w:style>
  <w:style w:type="paragraph" w:styleId="Kopfzeile">
    <w:name w:val="header"/>
    <w:basedOn w:val="Standard"/>
    <w:link w:val="KopfzeileZchn"/>
    <w:uiPriority w:val="99"/>
    <w:unhideWhenUsed/>
    <w:rsid w:val="00DF37C9"/>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DF37C9"/>
    <w:rPr>
      <w:rFonts w:ascii="Trebuchet MS" w:hAnsi="Trebuchet MS"/>
      <w:szCs w:val="20"/>
      <w:lang w:val="de-DE" w:eastAsia="de-DE"/>
    </w:rPr>
  </w:style>
  <w:style w:type="paragraph" w:styleId="Fuzeile">
    <w:name w:val="footer"/>
    <w:basedOn w:val="Standard"/>
    <w:link w:val="FuzeileZchn"/>
    <w:uiPriority w:val="99"/>
    <w:unhideWhenUsed/>
    <w:rsid w:val="00DF37C9"/>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DF37C9"/>
    <w:rPr>
      <w:rFonts w:ascii="Trebuchet MS" w:hAnsi="Trebuchet MS"/>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1134</Words>
  <Characters>7148</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8266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Morolz Paul Dr.</dc:creator>
  <cp:lastModifiedBy>Schwetz Florian, Mag., Inhouse Media</cp:lastModifiedBy>
  <cp:revision>2</cp:revision>
  <dcterms:created xsi:type="dcterms:W3CDTF">2016-05-04T07:47:00Z</dcterms:created>
  <dcterms:modified xsi:type="dcterms:W3CDTF">2016-05-04T07:47:00Z</dcterms:modified>
</cp:coreProperties>
</file>