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08238" w14:textId="77777777" w:rsidR="002D0C2E" w:rsidRPr="002D0C2E" w:rsidRDefault="002D0C2E" w:rsidP="002D0C2E">
      <w:pPr>
        <w:spacing w:after="0" w:line="240" w:lineRule="auto"/>
        <w:outlineLvl w:val="1"/>
        <w:rPr>
          <w:rFonts w:ascii="Trebuchet MS" w:eastAsia="Times New Roman" w:hAnsi="Trebuchet MS" w:cs="Times New Roman"/>
          <w:b/>
          <w:bCs/>
          <w:color w:val="000000"/>
          <w:kern w:val="0"/>
          <w:sz w:val="10"/>
          <w:szCs w:val="10"/>
          <w:lang w:eastAsia="de-DE"/>
          <w14:ligatures w14:val="none"/>
        </w:rPr>
      </w:pPr>
      <w:r w:rsidRPr="002D0C2E">
        <w:rPr>
          <w:rFonts w:ascii="Trebuchet MS" w:eastAsia="Times New Roman" w:hAnsi="Trebuchet MS" w:cs="Times New Roman"/>
          <w:b/>
          <w:bCs/>
          <w:noProof/>
          <w:color w:val="000000"/>
          <w:kern w:val="0"/>
          <w:sz w:val="10"/>
          <w:szCs w:val="10"/>
          <w:lang w:eastAsia="de-DE"/>
        </w:rPr>
        <w:drawing>
          <wp:anchor distT="0" distB="0" distL="114300" distR="114300" simplePos="0" relativeHeight="251658240" behindDoc="0" locked="0" layoutInCell="1" allowOverlap="1" wp14:anchorId="054C1841" wp14:editId="12E2A382">
            <wp:simplePos x="0" y="0"/>
            <wp:positionH relativeFrom="margin">
              <wp:posOffset>4627783</wp:posOffset>
            </wp:positionH>
            <wp:positionV relativeFrom="margin">
              <wp:posOffset>-460317</wp:posOffset>
            </wp:positionV>
            <wp:extent cx="1529478" cy="503362"/>
            <wp:effectExtent l="0" t="0" r="0" b="5080"/>
            <wp:wrapSquare wrapText="bothSides"/>
            <wp:docPr id="1308912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1284" name="Grafik 1308912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29478" cy="503362"/>
                    </a:xfrm>
                    <a:prstGeom prst="rect">
                      <a:avLst/>
                    </a:prstGeom>
                  </pic:spPr>
                </pic:pic>
              </a:graphicData>
            </a:graphic>
          </wp:anchor>
        </w:drawing>
      </w:r>
    </w:p>
    <w:p w14:paraId="48B12D31" w14:textId="5D8D6A36" w:rsidR="00A616AD" w:rsidRPr="00A616AD" w:rsidRDefault="00A616AD" w:rsidP="002D0C2E">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Warenreparaturrichtlinie-Umsetzungsgesetz (WaRUG)</w:t>
      </w:r>
    </w:p>
    <w:p w14:paraId="501F90DC"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Hintergrund &amp; Unionsrechtliche Grundlage:</w:t>
      </w:r>
    </w:p>
    <w:p w14:paraId="66051C84" w14:textId="180A9DC6"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WaRUG dient der Umsetzung der EU-Richtlinie (EU) 2024/1799 zur Förderung der Reparatur von Waren in österreichisches Recht. Es wurde gemeinsam mit dem Verbraucherrechte-Änderungsgesetz 2026 (VerbRÄG 2026) im Bundesrat beschlossen; der parlamentarische Prozess ist damit abgeschlossen. Die Änderungen erfolgen weitgehend im </w:t>
      </w:r>
      <w:r w:rsidRPr="00A616AD">
        <w:rPr>
          <w:rFonts w:ascii="Trebuchet MS" w:eastAsia="Times New Roman" w:hAnsi="Trebuchet MS" w:cs="Times New Roman"/>
          <w:b/>
          <w:bCs/>
          <w:color w:val="000000"/>
          <w:kern w:val="0"/>
          <w:sz w:val="22"/>
          <w:szCs w:val="22"/>
          <w:lang w:eastAsia="de-DE"/>
          <w14:ligatures w14:val="none"/>
        </w:rPr>
        <w:t>KSchG</w:t>
      </w:r>
      <w:r w:rsidRPr="00A616AD">
        <w:rPr>
          <w:rFonts w:ascii="Trebuchet MS" w:eastAsia="Times New Roman" w:hAnsi="Trebuchet MS" w:cs="Times New Roman"/>
          <w:color w:val="000000"/>
          <w:kern w:val="0"/>
          <w:sz w:val="22"/>
          <w:szCs w:val="22"/>
          <w:lang w:eastAsia="de-DE"/>
          <w14:ligatures w14:val="none"/>
        </w:rPr>
        <w:t> (Konsumentenschutzgesetz) und im </w:t>
      </w:r>
      <w:r w:rsidRPr="00A616AD">
        <w:rPr>
          <w:rFonts w:ascii="Trebuchet MS" w:eastAsia="Times New Roman" w:hAnsi="Trebuchet MS" w:cs="Times New Roman"/>
          <w:b/>
          <w:bCs/>
          <w:color w:val="000000"/>
          <w:kern w:val="0"/>
          <w:sz w:val="22"/>
          <w:szCs w:val="22"/>
          <w:lang w:eastAsia="de-DE"/>
          <w14:ligatures w14:val="none"/>
        </w:rPr>
        <w:t>VGG</w:t>
      </w:r>
      <w:r>
        <w:rPr>
          <w:rFonts w:ascii="Trebuchet MS" w:eastAsia="Times New Roman" w:hAnsi="Trebuchet MS" w:cs="Times New Roman"/>
          <w:b/>
          <w:bCs/>
          <w:color w:val="000000"/>
          <w:kern w:val="0"/>
          <w:sz w:val="22"/>
          <w:szCs w:val="22"/>
          <w:lang w:eastAsia="de-DE"/>
          <w14:ligatures w14:val="none"/>
        </w:rPr>
        <w:t xml:space="preserve"> </w:t>
      </w:r>
      <w:r w:rsidRPr="00A616AD">
        <w:rPr>
          <w:rFonts w:ascii="Trebuchet MS" w:eastAsia="Times New Roman" w:hAnsi="Trebuchet MS" w:cs="Times New Roman"/>
          <w:color w:val="000000"/>
          <w:kern w:val="0"/>
          <w:sz w:val="22"/>
          <w:szCs w:val="22"/>
          <w:lang w:eastAsia="de-DE"/>
          <w14:ligatures w14:val="none"/>
        </w:rPr>
        <w:t>(Verbrauchergewährleistungsgesetz) [1].</w:t>
      </w:r>
    </w:p>
    <w:p w14:paraId="6D23D090"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Wesentliche Regelungsinhalte:</w:t>
      </w:r>
    </w:p>
    <w:p w14:paraId="120511A3" w14:textId="1616DED8"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1. Verlängerung der Gewährleistungsfrist:</w:t>
      </w:r>
      <w:r w:rsidRPr="00A616AD">
        <w:rPr>
          <w:rFonts w:ascii="Trebuchet MS" w:eastAsia="Times New Roman" w:hAnsi="Trebuchet MS" w:cs="Times New Roman"/>
          <w:color w:val="000000"/>
          <w:kern w:val="0"/>
          <w:sz w:val="22"/>
          <w:szCs w:val="22"/>
          <w:lang w:eastAsia="de-DE"/>
          <w14:ligatures w14:val="none"/>
        </w:rPr>
        <w:t> Wird ein Produkt innerhalb der laufenden Gewährleistungsfrist im Wege der Gewährleistung verbessert (repariert), verlängert sich die Gewährleistungsfrist </w:t>
      </w:r>
      <w:r w:rsidRPr="00A616AD">
        <w:rPr>
          <w:rFonts w:ascii="Trebuchet MS" w:eastAsia="Times New Roman" w:hAnsi="Trebuchet MS" w:cs="Times New Roman"/>
          <w:b/>
          <w:bCs/>
          <w:color w:val="000000"/>
          <w:kern w:val="0"/>
          <w:sz w:val="22"/>
          <w:szCs w:val="22"/>
          <w:lang w:eastAsia="de-DE"/>
          <w14:ligatures w14:val="none"/>
        </w:rPr>
        <w:t>einmalig um ein Jahr</w:t>
      </w:r>
      <w:r w:rsidRPr="00A616AD">
        <w:rPr>
          <w:rFonts w:ascii="Trebuchet MS" w:eastAsia="Times New Roman" w:hAnsi="Trebuchet MS" w:cs="Times New Roman"/>
          <w:color w:val="000000"/>
          <w:kern w:val="0"/>
          <w:sz w:val="22"/>
          <w:szCs w:val="22"/>
          <w:lang w:eastAsia="de-DE"/>
          <w14:ligatures w14:val="none"/>
        </w:rPr>
        <w:t> – auf grundsätzlich maximal drei Jahre. Für gebrauchte Waren, bei denen die Gewährleistungsfrist wirksam verkürzt wurde, gelten abweichende Regelungen [1].</w:t>
      </w:r>
    </w:p>
    <w:p w14:paraId="67824E4A" w14:textId="6D942065" w:rsid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2. Recht auf Reparatur ("Right to Repair"):</w:t>
      </w:r>
      <w:r w:rsidRPr="00A616AD">
        <w:rPr>
          <w:rFonts w:ascii="Trebuchet MS" w:eastAsia="Times New Roman" w:hAnsi="Trebuchet MS" w:cs="Times New Roman"/>
          <w:color w:val="000000"/>
          <w:kern w:val="0"/>
          <w:sz w:val="22"/>
          <w:szCs w:val="22"/>
          <w:lang w:eastAsia="de-DE"/>
          <w14:ligatures w14:val="none"/>
        </w:rPr>
        <w:t> Das Recht auf Reparatur gilt nur für </w:t>
      </w:r>
      <w:r w:rsidRPr="00A616AD">
        <w:rPr>
          <w:rFonts w:ascii="Trebuchet MS" w:eastAsia="Times New Roman" w:hAnsi="Trebuchet MS" w:cs="Times New Roman"/>
          <w:b/>
          <w:bCs/>
          <w:color w:val="000000"/>
          <w:kern w:val="0"/>
          <w:sz w:val="22"/>
          <w:szCs w:val="22"/>
          <w:lang w:eastAsia="de-DE"/>
          <w14:ligatures w14:val="none"/>
        </w:rPr>
        <w:t>bestimmte Produktgruppen</w:t>
      </w:r>
      <w:r w:rsidRPr="00A616AD">
        <w:rPr>
          <w:rFonts w:ascii="Trebuchet MS" w:eastAsia="Times New Roman" w:hAnsi="Trebuchet MS" w:cs="Times New Roman"/>
          <w:color w:val="000000"/>
          <w:kern w:val="0"/>
          <w:sz w:val="22"/>
          <w:szCs w:val="22"/>
          <w:lang w:eastAsia="de-DE"/>
          <w14:ligatures w14:val="none"/>
        </w:rPr>
        <w:t> und richtet sich grundsätzlich an den </w:t>
      </w:r>
      <w:r w:rsidRPr="00A616AD">
        <w:rPr>
          <w:rFonts w:ascii="Trebuchet MS" w:eastAsia="Times New Roman" w:hAnsi="Trebuchet MS" w:cs="Times New Roman"/>
          <w:b/>
          <w:bCs/>
          <w:color w:val="000000"/>
          <w:kern w:val="0"/>
          <w:sz w:val="22"/>
          <w:szCs w:val="22"/>
          <w:lang w:eastAsia="de-DE"/>
          <w14:ligatures w14:val="none"/>
        </w:rPr>
        <w:t>Hersteller</w:t>
      </w:r>
      <w:r w:rsidRPr="00A616AD">
        <w:rPr>
          <w:rFonts w:ascii="Trebuchet MS" w:eastAsia="Times New Roman" w:hAnsi="Trebuchet MS" w:cs="Times New Roman"/>
          <w:color w:val="000000"/>
          <w:kern w:val="0"/>
          <w:sz w:val="22"/>
          <w:szCs w:val="22"/>
          <w:lang w:eastAsia="de-DE"/>
          <w14:ligatures w14:val="none"/>
        </w:rPr>
        <w:t>. Es greift </w:t>
      </w:r>
      <w:r w:rsidRPr="00A616AD">
        <w:rPr>
          <w:rFonts w:ascii="Trebuchet MS" w:eastAsia="Times New Roman" w:hAnsi="Trebuchet MS" w:cs="Times New Roman"/>
          <w:b/>
          <w:bCs/>
          <w:color w:val="000000"/>
          <w:kern w:val="0"/>
          <w:sz w:val="22"/>
          <w:szCs w:val="22"/>
          <w:lang w:eastAsia="de-DE"/>
          <w14:ligatures w14:val="none"/>
        </w:rPr>
        <w:t>außerhalb der gesetzlichen Gewährleistung</w:t>
      </w:r>
      <w:r w:rsidRPr="00A616AD">
        <w:rPr>
          <w:rFonts w:ascii="Trebuchet MS" w:eastAsia="Times New Roman" w:hAnsi="Trebuchet MS" w:cs="Times New Roman"/>
          <w:color w:val="000000"/>
          <w:kern w:val="0"/>
          <w:sz w:val="22"/>
          <w:szCs w:val="22"/>
          <w:lang w:eastAsia="de-DE"/>
          <w14:ligatures w14:val="none"/>
        </w:rPr>
        <w:t>, also insbesondere nach Ablauf der Gewährleistungsfrist oder wenn kein Gewährleistungsfall vorliegt [1].</w:t>
      </w:r>
    </w:p>
    <w:p w14:paraId="33FC4F9F" w14:textId="7F6CAF6B" w:rsidR="002F7B33" w:rsidRPr="002F7B33" w:rsidRDefault="002F7B33"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Pr>
          <w:rFonts w:ascii="Trebuchet MS" w:eastAsia="Times New Roman" w:hAnsi="Trebuchet MS" w:cs="Times New Roman"/>
          <w:color w:val="000000"/>
          <w:kern w:val="0"/>
          <w:sz w:val="22"/>
          <w:szCs w:val="22"/>
          <w:lang w:eastAsia="de-DE"/>
          <w14:ligatures w14:val="none"/>
        </w:rPr>
        <w:t xml:space="preserve">3.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Pr>
          <w:rFonts w:ascii="Trebuchet MS" w:eastAsia="Times New Roman" w:hAnsi="Trebuchet MS" w:cs="Times New Roman"/>
          <w:b/>
          <w:bCs/>
          <w:color w:val="000000"/>
          <w:kern w:val="0"/>
          <w:sz w:val="22"/>
          <w:szCs w:val="22"/>
          <w:lang w:eastAsia="de-DE"/>
          <w14:ligatures w14:val="none"/>
        </w:rPr>
        <w:t>:</w:t>
      </w:r>
      <w:r w:rsidRPr="002F7B33">
        <w:rPr>
          <w:rFonts w:ascii="Trebuchet MS" w:eastAsia="Times New Roman" w:hAnsi="Trebuchet MS" w:cs="Times New Roman"/>
          <w:color w:val="000000"/>
          <w:kern w:val="0"/>
          <w:sz w:val="22"/>
          <w:szCs w:val="22"/>
          <w:lang w:eastAsia="de-DE"/>
          <w14:ligatures w14:val="none"/>
        </w:rPr>
        <w:t xml:space="preserve"> Die Warenreparaturrichtlinie </w:t>
      </w:r>
      <w:r>
        <w:rPr>
          <w:rFonts w:ascii="Trebuchet MS" w:eastAsia="Times New Roman" w:hAnsi="Trebuchet MS" w:cs="Times New Roman"/>
          <w:color w:val="000000"/>
          <w:kern w:val="0"/>
          <w:sz w:val="22"/>
          <w:szCs w:val="22"/>
          <w:lang w:eastAsia="de-DE"/>
          <w14:ligatures w14:val="none"/>
        </w:rPr>
        <w:t xml:space="preserve">RL 20244/1799) </w:t>
      </w:r>
      <w:r w:rsidRPr="002F7B33">
        <w:rPr>
          <w:rFonts w:ascii="Trebuchet MS" w:eastAsia="Times New Roman" w:hAnsi="Trebuchet MS" w:cs="Times New Roman"/>
          <w:color w:val="000000"/>
          <w:kern w:val="0"/>
          <w:sz w:val="22"/>
          <w:szCs w:val="22"/>
          <w:lang w:eastAsia="de-DE"/>
          <w14:ligatures w14:val="none"/>
        </w:rPr>
        <w:t>sieht in </w:t>
      </w:r>
      <w:r w:rsidRPr="002F7B33">
        <w:rPr>
          <w:rFonts w:ascii="Trebuchet MS" w:eastAsia="Times New Roman" w:hAnsi="Trebuchet MS" w:cs="Times New Roman"/>
          <w:b/>
          <w:bCs/>
          <w:color w:val="000000"/>
          <w:kern w:val="0"/>
          <w:sz w:val="22"/>
          <w:szCs w:val="22"/>
          <w:lang w:eastAsia="de-DE"/>
          <w14:ligatures w14:val="none"/>
        </w:rPr>
        <w:t>Art. 4</w:t>
      </w:r>
      <w:r w:rsidRPr="002F7B33">
        <w:rPr>
          <w:rFonts w:ascii="Trebuchet MS" w:eastAsia="Times New Roman" w:hAnsi="Trebuchet MS" w:cs="Times New Roman"/>
          <w:color w:val="000000"/>
          <w:kern w:val="0"/>
          <w:sz w:val="22"/>
          <w:szCs w:val="22"/>
          <w:lang w:eastAsia="de-DE"/>
          <w14:ligatures w14:val="none"/>
        </w:rPr>
        <w:t> ein einheitliches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sidRPr="002F7B33">
        <w:rPr>
          <w:rFonts w:ascii="Trebuchet MS" w:eastAsia="Times New Roman" w:hAnsi="Trebuchet MS" w:cs="Times New Roman"/>
          <w:color w:val="000000"/>
          <w:kern w:val="0"/>
          <w:sz w:val="22"/>
          <w:szCs w:val="22"/>
          <w:lang w:eastAsia="de-DE"/>
          <w14:ligatures w14:val="none"/>
        </w:rPr>
        <w:t> vor. Ziel ist es, durch standardisierte Informationen das grenzüberschreitende Anbieten von Reparaturdienstleistungen zu erleichtern und Verbrauchern einen einfachen Angebotsvergleich zu ermöglichen. Das Formular soll nicht nur vom Hersteller, sondern auch von anderen Reparaturbetrieben (wie Verkäufer oder unabhängige Reparaturbetriebe) </w:t>
      </w:r>
      <w:r w:rsidRPr="002F7B33">
        <w:rPr>
          <w:rFonts w:ascii="Trebuchet MS" w:eastAsia="Times New Roman" w:hAnsi="Trebuchet MS" w:cs="Times New Roman"/>
          <w:b/>
          <w:bCs/>
          <w:color w:val="EE0000"/>
          <w:kern w:val="0"/>
          <w:sz w:val="22"/>
          <w:szCs w:val="22"/>
          <w:lang w:eastAsia="de-DE"/>
          <w14:ligatures w14:val="none"/>
        </w:rPr>
        <w:t>freiwillig</w:t>
      </w:r>
      <w:r w:rsidRPr="002F7B33">
        <w:rPr>
          <w:rFonts w:ascii="Trebuchet MS" w:eastAsia="Times New Roman" w:hAnsi="Trebuchet MS" w:cs="Times New Roman"/>
          <w:color w:val="EE0000"/>
          <w:kern w:val="0"/>
          <w:sz w:val="22"/>
          <w:szCs w:val="22"/>
          <w:lang w:eastAsia="de-DE"/>
          <w14:ligatures w14:val="none"/>
        </w:rPr>
        <w:t xml:space="preserve"> </w:t>
      </w:r>
      <w:r w:rsidRPr="002F7B33">
        <w:rPr>
          <w:rFonts w:ascii="Trebuchet MS" w:eastAsia="Times New Roman" w:hAnsi="Trebuchet MS" w:cs="Times New Roman"/>
          <w:color w:val="000000"/>
          <w:kern w:val="0"/>
          <w:sz w:val="22"/>
          <w:szCs w:val="22"/>
          <w:lang w:eastAsia="de-DE"/>
          <w14:ligatures w14:val="none"/>
        </w:rPr>
        <w:t>bereitgestellt oder über eine Online-Reparaturplattform angefordert werden können.</w:t>
      </w:r>
    </w:p>
    <w:p w14:paraId="718768FD" w14:textId="77777777" w:rsidR="002F7B33" w:rsidRPr="002F7B33" w:rsidRDefault="002F7B33"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Die Verknüpfung mit einer </w:t>
      </w:r>
      <w:r w:rsidRPr="002F7B33">
        <w:rPr>
          <w:rFonts w:ascii="Trebuchet MS" w:eastAsia="Times New Roman" w:hAnsi="Trebuchet MS" w:cs="Times New Roman"/>
          <w:b/>
          <w:bCs/>
          <w:color w:val="000000"/>
          <w:kern w:val="0"/>
          <w:sz w:val="22"/>
          <w:szCs w:val="22"/>
          <w:lang w:eastAsia="de-DE"/>
          <w14:ligatures w14:val="none"/>
        </w:rPr>
        <w:t>verbindlichen Bindungswirkung</w:t>
      </w:r>
      <w:r w:rsidRPr="002F7B33">
        <w:rPr>
          <w:rFonts w:ascii="Trebuchet MS" w:eastAsia="Times New Roman" w:hAnsi="Trebuchet MS" w:cs="Times New Roman"/>
          <w:color w:val="000000"/>
          <w:kern w:val="0"/>
          <w:sz w:val="22"/>
          <w:szCs w:val="22"/>
          <w:lang w:eastAsia="de-DE"/>
          <w14:ligatures w14:val="none"/>
        </w:rPr>
        <w:t> ist ein zentrales Element: Der Reparaturbetrieb ist an die im Formular angegebenen Bedingungen </w:t>
      </w:r>
      <w:r w:rsidRPr="002F7B33">
        <w:rPr>
          <w:rFonts w:ascii="Trebuchet MS" w:eastAsia="Times New Roman" w:hAnsi="Trebuchet MS" w:cs="Times New Roman"/>
          <w:b/>
          <w:bCs/>
          <w:color w:val="000000"/>
          <w:kern w:val="0"/>
          <w:sz w:val="22"/>
          <w:szCs w:val="22"/>
          <w:lang w:eastAsia="de-DE"/>
          <w14:ligatures w14:val="none"/>
        </w:rPr>
        <w:t>mindestens 30 Tage ab Zurverfügungstellung</w:t>
      </w:r>
      <w:r w:rsidRPr="002F7B33">
        <w:rPr>
          <w:rFonts w:ascii="Trebuchet MS" w:eastAsia="Times New Roman" w:hAnsi="Trebuchet MS" w:cs="Times New Roman"/>
          <w:color w:val="000000"/>
          <w:kern w:val="0"/>
          <w:sz w:val="22"/>
          <w:szCs w:val="22"/>
          <w:lang w:eastAsia="de-DE"/>
          <w14:ligatures w14:val="none"/>
        </w:rPr>
        <w:t> gebunden und verpflichtet, zu diesen Bedingungen einen Reparaturvertrag abzuschließen, wenn der Verbraucher die Bedingungen innerhalb dieser Frist akzeptiert.</w:t>
      </w:r>
    </w:p>
    <w:p w14:paraId="0D024FF1"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Inkrafttreten:</w:t>
      </w:r>
    </w:p>
    <w:p w14:paraId="2CC188F9" w14:textId="5715383F"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Inkrafttreten des WaRUG wurde durch einen Abänderungsantrag im parlamentarischen Verfahren auf den </w:t>
      </w:r>
      <w:r w:rsidRPr="00A616AD">
        <w:rPr>
          <w:rFonts w:ascii="Trebuchet MS" w:eastAsia="Times New Roman" w:hAnsi="Trebuchet MS" w:cs="Times New Roman"/>
          <w:b/>
          <w:bCs/>
          <w:color w:val="000000"/>
          <w:kern w:val="0"/>
          <w:sz w:val="22"/>
          <w:szCs w:val="22"/>
          <w:lang w:eastAsia="de-DE"/>
          <w14:ligatures w14:val="none"/>
        </w:rPr>
        <w:t>1. Oktober 2026</w:t>
      </w:r>
      <w:r w:rsidRPr="00A616AD">
        <w:rPr>
          <w:rFonts w:ascii="Trebuchet MS" w:eastAsia="Times New Roman" w:hAnsi="Trebuchet MS" w:cs="Times New Roman"/>
          <w:color w:val="000000"/>
          <w:kern w:val="0"/>
          <w:sz w:val="22"/>
          <w:szCs w:val="22"/>
          <w:lang w:eastAsia="de-DE"/>
          <w14:ligatures w14:val="none"/>
        </w:rPr>
        <w:t xml:space="preserve"> verschoben. </w:t>
      </w:r>
    </w:p>
    <w:p w14:paraId="17B089AF" w14:textId="77777777" w:rsidR="00A616AD" w:rsidRPr="00A616AD" w:rsidRDefault="00A616AD" w:rsidP="002D0C2E">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Zusammenhang mit dem VerbRÄG 2026:</w:t>
      </w:r>
    </w:p>
    <w:p w14:paraId="6A9EAE27" w14:textId="552DD511" w:rsidR="00A616AD" w:rsidRPr="00A616AD" w:rsidRDefault="00A616AD" w:rsidP="002D0C2E">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Parallel zum WaRUG wurde das </w:t>
      </w:r>
      <w:r w:rsidRPr="00A616AD">
        <w:rPr>
          <w:rFonts w:ascii="Trebuchet MS" w:eastAsia="Times New Roman" w:hAnsi="Trebuchet MS" w:cs="Times New Roman"/>
          <w:b/>
          <w:bCs/>
          <w:color w:val="000000"/>
          <w:kern w:val="0"/>
          <w:sz w:val="22"/>
          <w:szCs w:val="22"/>
          <w:lang w:eastAsia="de-DE"/>
          <w14:ligatures w14:val="none"/>
        </w:rPr>
        <w:t>Verbraucherrechte-Änderungsgesetz 2026 (VerbRÄG 2026)</w:t>
      </w:r>
      <w:r w:rsidRPr="00A616AD">
        <w:rPr>
          <w:rFonts w:ascii="Trebuchet MS" w:eastAsia="Times New Roman" w:hAnsi="Trebuchet MS" w:cs="Times New Roman"/>
          <w:color w:val="000000"/>
          <w:kern w:val="0"/>
          <w:sz w:val="22"/>
          <w:szCs w:val="22"/>
          <w:lang w:eastAsia="de-DE"/>
          <w14:ligatures w14:val="none"/>
        </w:rPr>
        <w:t> beschlossen, das die Richtlinie (EU) 2024/825 umsetzt und u.a. erweiterte Informationspflichten für Unternehmen (z.B. verpflichtende Hinweise zur gesetzlichen Gewährleistung und zur Haltbarkeitsgarantie des Herstellers mittels harmonisierter Labels) sowie einen verpflichtenden </w:t>
      </w:r>
      <w:r w:rsidRPr="00A616AD">
        <w:rPr>
          <w:rFonts w:ascii="Trebuchet MS" w:eastAsia="Times New Roman" w:hAnsi="Trebuchet MS" w:cs="Times New Roman"/>
          <w:b/>
          <w:bCs/>
          <w:color w:val="000000"/>
          <w:kern w:val="0"/>
          <w:sz w:val="22"/>
          <w:szCs w:val="22"/>
          <w:lang w:eastAsia="de-DE"/>
          <w14:ligatures w14:val="none"/>
        </w:rPr>
        <w:t>Widerrufsbutton</w:t>
      </w:r>
      <w:r w:rsidRPr="00A616AD">
        <w:rPr>
          <w:rFonts w:ascii="Trebuchet MS" w:eastAsia="Times New Roman" w:hAnsi="Trebuchet MS" w:cs="Times New Roman"/>
          <w:color w:val="000000"/>
          <w:kern w:val="0"/>
          <w:sz w:val="22"/>
          <w:szCs w:val="22"/>
          <w:lang w:eastAsia="de-DE"/>
          <w14:ligatures w14:val="none"/>
        </w:rPr>
        <w:t> für Online-Fernabsatzverträge einführt (Inkrafttreten: 1. Oktober 2026 bzw. 27. September 2026 für die Hinweispflichten) [2][1].</w:t>
      </w:r>
    </w:p>
    <w:p w14:paraId="2CFB2720" w14:textId="411154D0" w:rsidR="00A616AD" w:rsidRPr="002F7B33" w:rsidRDefault="00A616AD" w:rsidP="002F7B33">
      <w:pPr>
        <w:numPr>
          <w:ilvl w:val="0"/>
          <w:numId w:val="2"/>
        </w:numPr>
        <w:spacing w:after="0" w:line="288" w:lineRule="auto"/>
        <w:ind w:left="720"/>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[1] </w:t>
      </w:r>
      <w:hyperlink r:id="rId6" w:tgtFrame="_blank" w:history="1">
        <w:r w:rsidRPr="002F7B33">
          <w:rPr>
            <w:rFonts w:ascii="Trebuchet MS" w:eastAsia="Times New Roman" w:hAnsi="Trebuchet MS" w:cs="Times New Roman"/>
            <w:color w:val="0000FF"/>
            <w:kern w:val="0"/>
            <w:sz w:val="22"/>
            <w:szCs w:val="22"/>
            <w:u w:val="single"/>
            <w:lang w:eastAsia="de-DE"/>
            <w14:ligatures w14:val="none"/>
          </w:rPr>
          <w:t>WaRUG und VerbRÄG bringen neue Vorgaben zu ...</w:t>
        </w:r>
      </w:hyperlink>
    </w:p>
    <w:p w14:paraId="1D4D652D" w14:textId="2181798D" w:rsidR="002F7B33" w:rsidRPr="002F7B33" w:rsidRDefault="00A616AD" w:rsidP="002F7B33">
      <w:pPr>
        <w:numPr>
          <w:ilvl w:val="0"/>
          <w:numId w:val="2"/>
        </w:numPr>
        <w:spacing w:before="100" w:beforeAutospacing="1" w:after="100" w:afterAutospacing="1" w:line="240" w:lineRule="auto"/>
        <w:ind w:left="720"/>
        <w:rPr>
          <w:rFonts w:ascii="Times New Roman" w:eastAsia="Times New Roman" w:hAnsi="Times New Roman" w:cs="Times New Roman"/>
          <w:color w:val="000000"/>
          <w:kern w:val="0"/>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[2] </w:t>
      </w:r>
      <w:hyperlink r:id="rId7" w:tgtFrame="_blank" w:history="1">
        <w:r w:rsidRPr="002F7B33">
          <w:rPr>
            <w:rFonts w:ascii="Trebuchet MS" w:eastAsia="Times New Roman" w:hAnsi="Trebuchet MS" w:cs="Times New Roman"/>
            <w:color w:val="0000FF"/>
            <w:kern w:val="0"/>
            <w:sz w:val="22"/>
            <w:szCs w:val="22"/>
            <w:u w:val="single"/>
            <w:lang w:eastAsia="de-DE"/>
            <w14:ligatures w14:val="none"/>
          </w:rPr>
          <w:t>WaRUG, Right to Repair und Rücktrittsbutton</w:t>
        </w:r>
      </w:hyperlink>
    </w:p>
    <w:sectPr w:rsidR="002F7B33" w:rsidRPr="002F7B33" w:rsidSect="002D0C2E">
      <w:pgSz w:w="11906" w:h="16838"/>
      <w:pgMar w:top="1361" w:right="1418" w:bottom="36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76E52"/>
    <w:multiLevelType w:val="multilevel"/>
    <w:tmpl w:val="1F0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36F01"/>
    <w:multiLevelType w:val="multilevel"/>
    <w:tmpl w:val="834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A6223B"/>
    <w:multiLevelType w:val="multilevel"/>
    <w:tmpl w:val="B13CBB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14528963">
    <w:abstractNumId w:val="0"/>
  </w:num>
  <w:num w:numId="2" w16cid:durableId="1406342922">
    <w:abstractNumId w:val="2"/>
  </w:num>
  <w:num w:numId="3" w16cid:durableId="174229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AD"/>
    <w:rsid w:val="000A076C"/>
    <w:rsid w:val="0027714B"/>
    <w:rsid w:val="002D0C2E"/>
    <w:rsid w:val="002F7B33"/>
    <w:rsid w:val="00834F63"/>
    <w:rsid w:val="00A02E0C"/>
    <w:rsid w:val="00A616AD"/>
    <w:rsid w:val="00DA7549"/>
    <w:rsid w:val="00E133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373F"/>
  <w15:chartTrackingRefBased/>
  <w15:docId w15:val="{158CD51A-1E42-8447-84AE-F131C580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61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61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616A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16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16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16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16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16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16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6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616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616A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16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16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16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16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16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16AD"/>
    <w:rPr>
      <w:rFonts w:eastAsiaTheme="majorEastAsia" w:cstheme="majorBidi"/>
      <w:color w:val="272727" w:themeColor="text1" w:themeTint="D8"/>
    </w:rPr>
  </w:style>
  <w:style w:type="paragraph" w:styleId="Titel">
    <w:name w:val="Title"/>
    <w:basedOn w:val="Standard"/>
    <w:next w:val="Standard"/>
    <w:link w:val="TitelZchn"/>
    <w:uiPriority w:val="10"/>
    <w:qFormat/>
    <w:rsid w:val="00A61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16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16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16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16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16AD"/>
    <w:rPr>
      <w:i/>
      <w:iCs/>
      <w:color w:val="404040" w:themeColor="text1" w:themeTint="BF"/>
    </w:rPr>
  </w:style>
  <w:style w:type="paragraph" w:styleId="Listenabsatz">
    <w:name w:val="List Paragraph"/>
    <w:basedOn w:val="Standard"/>
    <w:uiPriority w:val="34"/>
    <w:qFormat/>
    <w:rsid w:val="00A616AD"/>
    <w:pPr>
      <w:ind w:left="720"/>
      <w:contextualSpacing/>
    </w:pPr>
  </w:style>
  <w:style w:type="character" w:styleId="IntensiveHervorhebung">
    <w:name w:val="Intense Emphasis"/>
    <w:basedOn w:val="Absatz-Standardschriftart"/>
    <w:uiPriority w:val="21"/>
    <w:qFormat/>
    <w:rsid w:val="00A616AD"/>
    <w:rPr>
      <w:i/>
      <w:iCs/>
      <w:color w:val="0F4761" w:themeColor="accent1" w:themeShade="BF"/>
    </w:rPr>
  </w:style>
  <w:style w:type="paragraph" w:styleId="IntensivesZitat">
    <w:name w:val="Intense Quote"/>
    <w:basedOn w:val="Standard"/>
    <w:next w:val="Standard"/>
    <w:link w:val="IntensivesZitatZchn"/>
    <w:uiPriority w:val="30"/>
    <w:qFormat/>
    <w:rsid w:val="00A61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16AD"/>
    <w:rPr>
      <w:i/>
      <w:iCs/>
      <w:color w:val="0F4761" w:themeColor="accent1" w:themeShade="BF"/>
    </w:rPr>
  </w:style>
  <w:style w:type="character" w:styleId="IntensiverVerweis">
    <w:name w:val="Intense Reference"/>
    <w:basedOn w:val="Absatz-Standardschriftart"/>
    <w:uiPriority w:val="32"/>
    <w:qFormat/>
    <w:rsid w:val="00A616AD"/>
    <w:rPr>
      <w:b/>
      <w:bCs/>
      <w:smallCaps/>
      <w:color w:val="0F4761" w:themeColor="accent1" w:themeShade="BF"/>
      <w:spacing w:val="5"/>
    </w:rPr>
  </w:style>
  <w:style w:type="paragraph" w:styleId="StandardWeb">
    <w:name w:val="Normal (Web)"/>
    <w:basedOn w:val="Standard"/>
    <w:uiPriority w:val="99"/>
    <w:semiHidden/>
    <w:unhideWhenUse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A616AD"/>
  </w:style>
  <w:style w:type="character" w:styleId="Fett">
    <w:name w:val="Strong"/>
    <w:basedOn w:val="Absatz-Standardschriftart"/>
    <w:uiPriority w:val="22"/>
    <w:qFormat/>
    <w:rsid w:val="00A616AD"/>
    <w:rPr>
      <w:b/>
      <w:bCs/>
    </w:rPr>
  </w:style>
  <w:style w:type="character" w:customStyle="1" w:styleId="text-link">
    <w:name w:val="text-link"/>
    <w:basedOn w:val="Absatz-Standardschriftart"/>
    <w:rsid w:val="00A616AD"/>
  </w:style>
  <w:style w:type="character" w:customStyle="1" w:styleId="flex">
    <w:name w:val="flex"/>
    <w:basedOn w:val="Absatz-Standardschriftart"/>
    <w:rsid w:val="00A616AD"/>
  </w:style>
  <w:style w:type="character" w:customStyle="1" w:styleId="answer-sources-header">
    <w:name w:val="answer-sources-header"/>
    <w:basedOn w:val="Absatz-Standardschriftart"/>
    <w:rsid w:val="00A616AD"/>
  </w:style>
  <w:style w:type="character" w:customStyle="1" w:styleId="text-lg">
    <w:name w:val="text-lg"/>
    <w:basedOn w:val="Absatz-Standardschriftart"/>
    <w:rsid w:val="00A616AD"/>
  </w:style>
  <w:style w:type="paragraph" w:customStyle="1" w:styleId="pb-3">
    <w:name w:val="pb-3"/>
    <w:basedOn w:val="Standar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font-semibold">
    <w:name w:val="font-semibold"/>
    <w:basedOn w:val="Absatz-Standardschriftart"/>
    <w:rsid w:val="00A616AD"/>
  </w:style>
  <w:style w:type="character" w:customStyle="1" w:styleId="m-1">
    <w:name w:val="m-1"/>
    <w:basedOn w:val="Absatz-Standardschriftart"/>
    <w:rsid w:val="00A616AD"/>
  </w:style>
  <w:style w:type="character" w:customStyle="1" w:styleId="truncate">
    <w:name w:val="truncate"/>
    <w:basedOn w:val="Absatz-Standardschriftart"/>
    <w:rsid w:val="00A616AD"/>
  </w:style>
  <w:style w:type="character" w:customStyle="1" w:styleId="inline-flex">
    <w:name w:val="inline-flex"/>
    <w:basedOn w:val="Absatz-Standardschriftart"/>
    <w:rsid w:val="002F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ko.at/handel/maschinen-technologie/pflichten-stationaeren-handel-onlinehandel-warug-right-to-repa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ko.at/gewerbe-handwerk/fahrzeugtechnik/neue-vorgaben-gewaehrleistung-und-reparatu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2793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Informationen zum Warenreparaturrichtlinie-Umsetzungsgesetz (WaRUG)</vt:lpstr>
    </vt:vector>
  </TitlesOfParts>
  <Company>WKÖ</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Informationen zum Warenreparaturrichtlinie-Umsetzungsgesetz (WaRUG)</dc:title>
  <dc:subject>Verbraucherrechte, Gewährleistung</dc:subject>
  <dc:creator>Bundesinnung Mechatroniker, WKÖ</dc:creator>
  <cp:keywords>Verbraucherrechte, Gewährleistung, WaRUG, VerbRÄG</cp:keywords>
  <dc:description/>
  <cp:lastModifiedBy>Schwetz Florian | WKO Inhouse</cp:lastModifiedBy>
  <cp:revision>2</cp:revision>
  <dcterms:created xsi:type="dcterms:W3CDTF">2026-10-19T07:49:00Z</dcterms:created>
  <dcterms:modified xsi:type="dcterms:W3CDTF">2026-10-19T07:49:00Z</dcterms:modified>
</cp:coreProperties>
</file>