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458ED" w14:textId="786DA70D" w:rsidR="0029533F" w:rsidRPr="007B7223" w:rsidRDefault="00DD6126" w:rsidP="00B80157">
      <w:pPr>
        <w:pStyle w:val="Pagedecouverture"/>
      </w:pPr>
      <w:r>
        <w:rPr>
          <w:noProof/>
        </w:rPr>
        <w:drawing>
          <wp:inline distT="0" distB="0" distL="0" distR="0" wp14:anchorId="04F5D86A" wp14:editId="457A1B14">
            <wp:extent cx="5786120" cy="4389120"/>
            <wp:effectExtent l="0" t="0" r="0" b="0"/>
            <wp:docPr id="1" name="Bild 1" descr="E5B18E15-BD29-42B5-81B7-EEEDB2F0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5B18E15-BD29-42B5-81B7-EEEDB2F011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6120" cy="4389120"/>
                    </a:xfrm>
                    <a:prstGeom prst="rect">
                      <a:avLst/>
                    </a:prstGeom>
                    <a:noFill/>
                    <a:ln>
                      <a:noFill/>
                    </a:ln>
                  </pic:spPr>
                </pic:pic>
              </a:graphicData>
            </a:graphic>
          </wp:inline>
        </w:drawing>
      </w:r>
    </w:p>
    <w:p w14:paraId="6E845842" w14:textId="77777777" w:rsidR="00A4768A" w:rsidRPr="007B7223" w:rsidRDefault="00A4768A" w:rsidP="00A01AA1">
      <w:pPr>
        <w:sectPr w:rsidR="00A4768A" w:rsidRPr="007B7223" w:rsidSect="008A4BA7">
          <w:footerReference w:type="even" r:id="rId9"/>
          <w:footerReference w:type="default" r:id="rId10"/>
          <w:pgSz w:w="11907" w:h="16839"/>
          <w:pgMar w:top="1134" w:right="1417" w:bottom="1134" w:left="1417" w:header="709" w:footer="709" w:gutter="0"/>
          <w:pgNumType w:start="0"/>
          <w:cols w:space="720"/>
          <w:docGrid w:linePitch="360"/>
        </w:sectPr>
      </w:pPr>
    </w:p>
    <w:p w14:paraId="663AC5D9" w14:textId="79938C70" w:rsidR="00A4768A" w:rsidRPr="007B7223" w:rsidRDefault="00B80157" w:rsidP="00B80157">
      <w:pPr>
        <w:pStyle w:val="Typedudocument"/>
      </w:pPr>
      <w:r w:rsidRPr="007B7223">
        <w:lastRenderedPageBreak/>
        <w:t>COMMISSION REGULATION (EU) …/…</w:t>
      </w:r>
    </w:p>
    <w:p w14:paraId="77C508FE" w14:textId="08CE0493" w:rsidR="00A4768A" w:rsidRPr="007B7223" w:rsidRDefault="00B80157" w:rsidP="00B80157">
      <w:pPr>
        <w:pStyle w:val="Datedadoption"/>
      </w:pPr>
      <w:r w:rsidRPr="007B7223">
        <w:t xml:space="preserve">of </w:t>
      </w:r>
      <w:r w:rsidRPr="007B7223">
        <w:rPr>
          <w:rStyle w:val="Marker2"/>
        </w:rPr>
        <w:t>XXX</w:t>
      </w:r>
    </w:p>
    <w:p w14:paraId="5CF6FF71" w14:textId="1E08F4CF" w:rsidR="00A4768A" w:rsidRPr="007B7223" w:rsidRDefault="00B80157" w:rsidP="00B80157">
      <w:pPr>
        <w:pStyle w:val="Titreobjet"/>
      </w:pPr>
      <w:r w:rsidRPr="007B7223">
        <w:t>amending Annex XVII to Regulation (EC) No 1907/2006 of the European Parliament and of the Council as regards terphenyl, hydrogenated as a substance, a constituent of other substances, in mixtures and in articles</w:t>
      </w:r>
    </w:p>
    <w:p w14:paraId="0AB285F8" w14:textId="358C9E9F" w:rsidR="00A4768A" w:rsidRPr="007B7223" w:rsidRDefault="00B80157" w:rsidP="00B80157">
      <w:pPr>
        <w:pStyle w:val="IntrtEEE"/>
      </w:pPr>
      <w:r w:rsidRPr="007B7223">
        <w:t>(Text with EEA relevance)</w:t>
      </w:r>
    </w:p>
    <w:p w14:paraId="7DCA2E7E" w14:textId="77777777" w:rsidR="00A4768A" w:rsidRPr="007B7223" w:rsidRDefault="00A4768A" w:rsidP="001C3314">
      <w:pPr>
        <w:pStyle w:val="Institutionquiagit"/>
      </w:pPr>
      <w:r w:rsidRPr="007B7223">
        <w:t>THE EUROPEAN COMMISSION,</w:t>
      </w:r>
    </w:p>
    <w:p w14:paraId="506688D7" w14:textId="77777777" w:rsidR="00A4768A" w:rsidRPr="007B7223" w:rsidRDefault="00A4768A" w:rsidP="001C3314">
      <w:r w:rsidRPr="007B7223">
        <w:t>Having regard to the Treaty on the Functioning of the European Union,</w:t>
      </w:r>
    </w:p>
    <w:p w14:paraId="1BE0A519" w14:textId="51CC559D" w:rsidR="00A4768A" w:rsidRPr="007B7223" w:rsidRDefault="00A4768A" w:rsidP="00A4768A">
      <w:r w:rsidRPr="007B7223">
        <w:t xml:space="preserve">Having regard to </w:t>
      </w:r>
      <w:r w:rsidRPr="007B7223">
        <w:rPr>
          <w:bCs/>
        </w:rPr>
        <w:t>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w:t>
      </w:r>
      <w:r w:rsidRPr="007B7223">
        <w:rPr>
          <w:rStyle w:val="Funotenzeichen"/>
          <w:bCs/>
        </w:rPr>
        <w:footnoteReference w:id="1"/>
      </w:r>
      <w:r w:rsidRPr="007B7223">
        <w:rPr>
          <w:bCs/>
        </w:rPr>
        <w:t>,</w:t>
      </w:r>
      <w:r w:rsidRPr="007B7223">
        <w:t xml:space="preserve"> and in particular Article</w:t>
      </w:r>
      <w:r w:rsidR="00F7457C" w:rsidRPr="007B7223">
        <w:t> </w:t>
      </w:r>
      <w:r w:rsidRPr="007B7223">
        <w:t>68(1) thereof,</w:t>
      </w:r>
    </w:p>
    <w:p w14:paraId="142A81FB" w14:textId="77777777" w:rsidR="00A4768A" w:rsidRPr="007B7223" w:rsidRDefault="00A4768A" w:rsidP="00A4768A">
      <w:r w:rsidRPr="007B7223">
        <w:t>Whereas:</w:t>
      </w:r>
    </w:p>
    <w:p w14:paraId="3DC9421D" w14:textId="3ABE8626" w:rsidR="00A4768A" w:rsidRPr="007B7223" w:rsidRDefault="00A4768A" w:rsidP="00684006">
      <w:pPr>
        <w:pStyle w:val="Considrant"/>
        <w:numPr>
          <w:ilvl w:val="0"/>
          <w:numId w:val="1"/>
        </w:numPr>
        <w:rPr>
          <w:rStyle w:val="normaltextrun"/>
        </w:rPr>
      </w:pPr>
      <w:bookmarkStart w:id="0" w:name="_Hlk219120053"/>
      <w:bookmarkStart w:id="1" w:name="_Hlk219120708"/>
      <w:r w:rsidRPr="007B7223">
        <w:rPr>
          <w:rStyle w:val="normaltextrun"/>
          <w:color w:val="000000"/>
          <w:shd w:val="clear" w:color="auto" w:fill="FFFFFF"/>
        </w:rPr>
        <w:t>Terphenyl, hydrogenated</w:t>
      </w:r>
      <w:r w:rsidRPr="007B7223">
        <w:rPr>
          <w:rStyle w:val="Funotenzeichen"/>
          <w:color w:val="000000"/>
        </w:rPr>
        <w:footnoteReference w:id="2"/>
      </w:r>
      <w:r w:rsidR="00F7457C" w:rsidRPr="007B7223">
        <w:rPr>
          <w:rStyle w:val="normaltextrun"/>
          <w:color w:val="000000"/>
          <w:shd w:val="clear" w:color="auto" w:fill="FFFFFF"/>
        </w:rPr>
        <w:t>,</w:t>
      </w:r>
      <w:r w:rsidRPr="007B7223">
        <w:rPr>
          <w:rStyle w:val="normaltextrun"/>
          <w:color w:val="000000"/>
          <w:shd w:val="clear" w:color="auto" w:fill="FFFFFF"/>
        </w:rPr>
        <w:t xml:space="preserve"> </w:t>
      </w:r>
      <w:r w:rsidR="004D0995" w:rsidRPr="007B7223">
        <w:rPr>
          <w:rStyle w:val="normaltextrun"/>
          <w:color w:val="000000"/>
          <w:shd w:val="clear" w:color="auto" w:fill="FFFFFF"/>
        </w:rPr>
        <w:t xml:space="preserve">commonly named </w:t>
      </w:r>
      <w:r w:rsidR="003E201F" w:rsidRPr="007B7223">
        <w:rPr>
          <w:rStyle w:val="normaltextrun"/>
          <w:color w:val="000000"/>
          <w:shd w:val="clear" w:color="auto" w:fill="FFFFFF"/>
        </w:rPr>
        <w:t xml:space="preserve">Partly </w:t>
      </w:r>
      <w:r w:rsidR="00AB2A89" w:rsidRPr="007B7223">
        <w:rPr>
          <w:rStyle w:val="normaltextrun"/>
          <w:color w:val="000000"/>
          <w:shd w:val="clear" w:color="auto" w:fill="FFFFFF"/>
        </w:rPr>
        <w:t>Hydrogenated Terphenyl</w:t>
      </w:r>
      <w:r w:rsidRPr="007B7223">
        <w:rPr>
          <w:rStyle w:val="normaltextrun"/>
          <w:color w:val="000000"/>
          <w:shd w:val="clear" w:color="auto" w:fill="FFFFFF"/>
        </w:rPr>
        <w:t xml:space="preserve"> (‘PHT’)</w:t>
      </w:r>
      <w:bookmarkEnd w:id="0"/>
      <w:r w:rsidR="006C183C" w:rsidRPr="007B7223">
        <w:rPr>
          <w:rStyle w:val="normaltextrun"/>
          <w:color w:val="000000"/>
          <w:shd w:val="clear" w:color="auto" w:fill="FFFFFF"/>
        </w:rPr>
        <w:t>,</w:t>
      </w:r>
      <w:r w:rsidRPr="007B7223">
        <w:rPr>
          <w:rStyle w:val="normaltextrun"/>
          <w:color w:val="000000"/>
          <w:shd w:val="clear" w:color="auto" w:fill="FFFFFF"/>
        </w:rPr>
        <w:t xml:space="preserve"> is a substance of unknown or variable composition, or a complex reaction product or a biological material (UVCB) under </w:t>
      </w:r>
      <w:r w:rsidRPr="007B7223">
        <w:t>Regulation (EC) No</w:t>
      </w:r>
      <w:r w:rsidR="00F7457C" w:rsidRPr="007B7223">
        <w:t> </w:t>
      </w:r>
      <w:r w:rsidRPr="007B7223">
        <w:t>1907/2006</w:t>
      </w:r>
      <w:r w:rsidRPr="007B7223">
        <w:rPr>
          <w:rStyle w:val="normaltextrun"/>
          <w:color w:val="000000"/>
          <w:shd w:val="clear" w:color="auto" w:fill="FFFFFF"/>
        </w:rPr>
        <w:t xml:space="preserve">. PHT is </w:t>
      </w:r>
      <w:r w:rsidRPr="007B7223">
        <w:t>identified as a very persistent and very bioaccumulative (vPvB)</w:t>
      </w:r>
      <w:r w:rsidRPr="007B7223">
        <w:rPr>
          <w:rStyle w:val="Funotenzeichen"/>
        </w:rPr>
        <w:footnoteReference w:id="3"/>
      </w:r>
      <w:r w:rsidRPr="007B7223">
        <w:t xml:space="preserve"> substance </w:t>
      </w:r>
      <w:r w:rsidR="007166F5" w:rsidRPr="007B7223">
        <w:t>in accordance with</w:t>
      </w:r>
      <w:r w:rsidRPr="007B7223">
        <w:t xml:space="preserve"> Article 57(e) of</w:t>
      </w:r>
      <w:r w:rsidR="004412F4" w:rsidRPr="007B7223">
        <w:t xml:space="preserve"> </w:t>
      </w:r>
      <w:r w:rsidR="008E73D9" w:rsidRPr="007B7223">
        <w:rPr>
          <w:bCs/>
        </w:rPr>
        <w:t>Regulation (EC) No</w:t>
      </w:r>
      <w:r w:rsidR="00F7457C" w:rsidRPr="007B7223">
        <w:rPr>
          <w:bCs/>
        </w:rPr>
        <w:t> </w:t>
      </w:r>
      <w:r w:rsidR="008E73D9" w:rsidRPr="007B7223">
        <w:rPr>
          <w:bCs/>
        </w:rPr>
        <w:t>1907/2006</w:t>
      </w:r>
      <w:r w:rsidRPr="007B7223">
        <w:t xml:space="preserve">. On 27 June </w:t>
      </w:r>
      <w:bookmarkStart w:id="2" w:name="_Hlk219125761"/>
      <w:r w:rsidRPr="007B7223">
        <w:t>2018</w:t>
      </w:r>
      <w:r w:rsidRPr="007B7223">
        <w:rPr>
          <w:rStyle w:val="Funotenzeichen"/>
        </w:rPr>
        <w:footnoteReference w:id="4"/>
      </w:r>
      <w:bookmarkEnd w:id="2"/>
      <w:r w:rsidRPr="007B7223">
        <w:t>, the European Chemicals Agency (“the Agency”) added PHT to the candidate list of substances of very high concern</w:t>
      </w:r>
      <w:r w:rsidRPr="007B7223" w:rsidDel="00796421">
        <w:rPr>
          <w:rStyle w:val="normaltextrun"/>
        </w:rPr>
        <w:t xml:space="preserve"> </w:t>
      </w:r>
      <w:r w:rsidRPr="007B7223">
        <w:rPr>
          <w:rStyle w:val="normaltextrun"/>
        </w:rPr>
        <w:t>published in accordance with Article</w:t>
      </w:r>
      <w:r w:rsidR="00F7457C" w:rsidRPr="007B7223">
        <w:rPr>
          <w:rStyle w:val="normaltextrun"/>
        </w:rPr>
        <w:t> </w:t>
      </w:r>
      <w:r w:rsidRPr="007B7223">
        <w:rPr>
          <w:rStyle w:val="normaltextrun"/>
        </w:rPr>
        <w:t xml:space="preserve">59(10) of </w:t>
      </w:r>
      <w:r w:rsidR="008E73D9" w:rsidRPr="007B7223">
        <w:rPr>
          <w:bCs/>
        </w:rPr>
        <w:t>Regulation (EC) No 1907/2006</w:t>
      </w:r>
      <w:r w:rsidRPr="007B7223">
        <w:rPr>
          <w:rStyle w:val="normaltextrun"/>
        </w:rPr>
        <w:t>.</w:t>
      </w:r>
      <w:bookmarkEnd w:id="1"/>
    </w:p>
    <w:p w14:paraId="6CFA3AC2" w14:textId="2234309C" w:rsidR="00A4768A" w:rsidRPr="007B7223" w:rsidRDefault="00A4768A" w:rsidP="00A4768A">
      <w:pPr>
        <w:pStyle w:val="Considrant"/>
        <w:rPr>
          <w:rStyle w:val="normaltextrun"/>
        </w:rPr>
      </w:pPr>
      <w:bookmarkStart w:id="3" w:name="_Hlk219125041"/>
      <w:r w:rsidRPr="007B7223">
        <w:rPr>
          <w:rStyle w:val="normaltextrun"/>
          <w:color w:val="000000"/>
        </w:rPr>
        <w:t xml:space="preserve">On 5 April 2022, </w:t>
      </w:r>
      <w:r w:rsidR="00A934E5" w:rsidRPr="007B7223">
        <w:rPr>
          <w:rStyle w:val="normaltextrun"/>
          <w:color w:val="000000"/>
        </w:rPr>
        <w:t xml:space="preserve">pursuant to Article 69(4) of </w:t>
      </w:r>
      <w:r w:rsidR="00A934E5" w:rsidRPr="007B7223">
        <w:rPr>
          <w:bCs/>
        </w:rPr>
        <w:t>Regulation (EC) No 1907/2006</w:t>
      </w:r>
      <w:r w:rsidR="00B640CC" w:rsidRPr="007B7223">
        <w:rPr>
          <w:bCs/>
        </w:rPr>
        <w:t xml:space="preserve">, </w:t>
      </w:r>
      <w:r w:rsidRPr="007B7223">
        <w:rPr>
          <w:rStyle w:val="normaltextrun"/>
          <w:color w:val="000000"/>
        </w:rPr>
        <w:t xml:space="preserve">Italy </w:t>
      </w:r>
      <w:r w:rsidRPr="007B7223" w:rsidDel="00B97AC5">
        <w:rPr>
          <w:rStyle w:val="normaltextrun"/>
          <w:color w:val="000000"/>
        </w:rPr>
        <w:t>(‘</w:t>
      </w:r>
      <w:r w:rsidRPr="007B7223">
        <w:rPr>
          <w:rStyle w:val="normaltextrun"/>
          <w:color w:val="000000"/>
        </w:rPr>
        <w:t>the Dossier Submitter’</w:t>
      </w:r>
      <w:r w:rsidRPr="007B7223" w:rsidDel="00B97AC5">
        <w:rPr>
          <w:rStyle w:val="normaltextrun"/>
          <w:color w:val="000000"/>
        </w:rPr>
        <w:t xml:space="preserve">) </w:t>
      </w:r>
      <w:r w:rsidRPr="007B7223">
        <w:rPr>
          <w:rStyle w:val="normaltextrun"/>
          <w:color w:val="000000"/>
        </w:rPr>
        <w:t>submitted to the Agency, a dossier</w:t>
      </w:r>
      <w:r w:rsidRPr="007B7223">
        <w:rPr>
          <w:rStyle w:val="Funotenzeichen"/>
          <w:color w:val="000000"/>
        </w:rPr>
        <w:footnoteReference w:id="5"/>
      </w:r>
      <w:r w:rsidRPr="007B7223">
        <w:rPr>
          <w:rStyle w:val="normaltextrun"/>
          <w:color w:val="000000"/>
        </w:rPr>
        <w:t xml:space="preserve"> (‘the Annex XV dossier’) </w:t>
      </w:r>
      <w:bookmarkStart w:id="4" w:name="_Hlk219119921"/>
      <w:r w:rsidRPr="007B7223">
        <w:rPr>
          <w:rStyle w:val="normaltextrun"/>
          <w:color w:val="000000"/>
        </w:rPr>
        <w:t>proposing to restrict the use and placing on the market of PHT as a substance on its own or, where present in a concentration greater than 0.1 % weight by weight (‘w/w’), as a constituent of other substances, in mixtures,</w:t>
      </w:r>
      <w:r w:rsidRPr="007B7223">
        <w:t xml:space="preserve"> or i</w:t>
      </w:r>
      <w:r w:rsidRPr="007B7223">
        <w:rPr>
          <w:rStyle w:val="normaltextrun"/>
          <w:color w:val="000000"/>
        </w:rPr>
        <w:t xml:space="preserve">n articles or any parts thereof, after a </w:t>
      </w:r>
      <w:r w:rsidR="00B85317" w:rsidRPr="007B7223">
        <w:rPr>
          <w:rStyle w:val="normaltextrun"/>
          <w:color w:val="000000"/>
        </w:rPr>
        <w:t xml:space="preserve">deferral </w:t>
      </w:r>
      <w:r w:rsidRPr="007B7223">
        <w:rPr>
          <w:rStyle w:val="normaltextrun"/>
          <w:color w:val="000000"/>
        </w:rPr>
        <w:t>period of 18 months</w:t>
      </w:r>
      <w:bookmarkEnd w:id="4"/>
      <w:r w:rsidRPr="007B7223">
        <w:rPr>
          <w:rStyle w:val="normaltextrun"/>
          <w:color w:val="000000"/>
        </w:rPr>
        <w:t>.</w:t>
      </w:r>
      <w:bookmarkEnd w:id="3"/>
      <w:r w:rsidRPr="007B7223">
        <w:rPr>
          <w:rStyle w:val="normaltextrun"/>
          <w:color w:val="000000"/>
        </w:rPr>
        <w:t xml:space="preserve"> </w:t>
      </w:r>
    </w:p>
    <w:p w14:paraId="56AD17B7" w14:textId="5DE4B7CE" w:rsidR="00A4768A" w:rsidRPr="007B7223" w:rsidRDefault="00A4768A" w:rsidP="00A4768A">
      <w:pPr>
        <w:pStyle w:val="Considrant"/>
        <w:rPr>
          <w:rStyle w:val="normaltextrun"/>
        </w:rPr>
      </w:pPr>
      <w:r w:rsidRPr="007B7223">
        <w:rPr>
          <w:rStyle w:val="normaltextrun"/>
          <w:color w:val="000000"/>
        </w:rPr>
        <w:lastRenderedPageBreak/>
        <w:t xml:space="preserve">The Annex XV dossier </w:t>
      </w:r>
      <w:r w:rsidRPr="007B7223">
        <w:t xml:space="preserve">was amended and finalised </w:t>
      </w:r>
      <w:r w:rsidR="00306D85" w:rsidRPr="007B7223">
        <w:t xml:space="preserve">by the Dossier Submitter </w:t>
      </w:r>
      <w:r w:rsidRPr="007B7223">
        <w:t>on</w:t>
      </w:r>
      <w:r w:rsidR="00882AB4" w:rsidRPr="007B7223">
        <w:t xml:space="preserve"> </w:t>
      </w:r>
      <w:r w:rsidRPr="007B7223">
        <w:rPr>
          <w:rStyle w:val="normaltextrun"/>
          <w:color w:val="000000"/>
        </w:rPr>
        <w:t>10 March 2023</w:t>
      </w:r>
      <w:r w:rsidRPr="007B7223">
        <w:rPr>
          <w:rStyle w:val="Funotenzeichen"/>
          <w:color w:val="000000"/>
        </w:rPr>
        <w:footnoteReference w:id="6"/>
      </w:r>
      <w:r w:rsidRPr="007B7223">
        <w:rPr>
          <w:rStyle w:val="normaltextrun"/>
          <w:color w:val="000000"/>
        </w:rPr>
        <w:t xml:space="preserve"> (‘</w:t>
      </w:r>
      <w:r w:rsidRPr="007B7223">
        <w:t xml:space="preserve">the dossier’). It </w:t>
      </w:r>
      <w:r w:rsidRPr="007B7223">
        <w:rPr>
          <w:rStyle w:val="normaltextrun"/>
          <w:color w:val="000000"/>
        </w:rPr>
        <w:t>included a derogation for PHT as heat transfer fluid (</w:t>
      </w:r>
      <w:r w:rsidR="000C432D" w:rsidRPr="007B7223">
        <w:rPr>
          <w:rStyle w:val="normaltextrun"/>
          <w:color w:val="000000"/>
        </w:rPr>
        <w:t>‘</w:t>
      </w:r>
      <w:r w:rsidRPr="007B7223">
        <w:rPr>
          <w:rStyle w:val="normaltextrun"/>
          <w:color w:val="000000"/>
        </w:rPr>
        <w:t>HTF</w:t>
      </w:r>
      <w:r w:rsidR="000C432D" w:rsidRPr="007B7223">
        <w:rPr>
          <w:rStyle w:val="normaltextrun"/>
          <w:color w:val="000000"/>
        </w:rPr>
        <w:t>’</w:t>
      </w:r>
      <w:r w:rsidRPr="007B7223">
        <w:rPr>
          <w:rStyle w:val="normaltextrun"/>
          <w:color w:val="000000"/>
        </w:rPr>
        <w:t>) for use</w:t>
      </w:r>
      <w:r w:rsidRPr="007B7223">
        <w:t xml:space="preserve"> at </w:t>
      </w:r>
      <w:r w:rsidRPr="007B7223">
        <w:rPr>
          <w:rStyle w:val="normaltextrun"/>
          <w:color w:val="000000"/>
        </w:rPr>
        <w:t xml:space="preserve">sites that implement strictly controlled closed systems with technical containment and organisational measures to minimise PHT emissions to the environment. The dossier also included a derogation </w:t>
      </w:r>
      <w:r w:rsidRPr="007B7223">
        <w:rPr>
          <w:rStyle w:val="normaltextrun"/>
          <w:color w:val="000000"/>
          <w:szCs w:val="24"/>
        </w:rPr>
        <w:t>for</w:t>
      </w:r>
      <w:r w:rsidRPr="007B7223">
        <w:rPr>
          <w:rStyle w:val="Kommentarzeichen"/>
          <w:szCs w:val="24"/>
        </w:rPr>
        <w:t xml:space="preserve"> </w:t>
      </w:r>
      <w:r w:rsidRPr="007B7223">
        <w:rPr>
          <w:rStyle w:val="normaltextrun"/>
          <w:color w:val="000000"/>
        </w:rPr>
        <w:t xml:space="preserve">PHT as HTF </w:t>
      </w:r>
      <w:r w:rsidRPr="007B7223">
        <w:rPr>
          <w:rStyle w:val="Kommentarzeichen"/>
          <w:sz w:val="24"/>
          <w:szCs w:val="24"/>
        </w:rPr>
        <w:t xml:space="preserve">in applications of </w:t>
      </w:r>
      <w:r w:rsidRPr="007B7223">
        <w:rPr>
          <w:rStyle w:val="normaltextrun"/>
          <w:color w:val="000000"/>
          <w:szCs w:val="24"/>
        </w:rPr>
        <w:t>electromechanical</w:t>
      </w:r>
      <w:r w:rsidRPr="007B7223">
        <w:rPr>
          <w:rStyle w:val="normaltextrun"/>
          <w:color w:val="000000"/>
        </w:rPr>
        <w:t xml:space="preserve"> temperature controls of ovens and stoves and of electrical capillary thermostats (‘thermostats’) covered by Directive 2012/19/EU</w:t>
      </w:r>
      <w:r w:rsidR="00EA5456" w:rsidRPr="007B7223">
        <w:rPr>
          <w:rStyle w:val="normaltextrun"/>
          <w:color w:val="000000"/>
        </w:rPr>
        <w:t xml:space="preserve"> of the European Parliament and of the Council</w:t>
      </w:r>
      <w:r w:rsidR="00EA5456" w:rsidRPr="007B7223">
        <w:rPr>
          <w:rStyle w:val="Funotenzeichen"/>
          <w:color w:val="000000"/>
        </w:rPr>
        <w:footnoteReference w:id="7"/>
      </w:r>
      <w:r w:rsidRPr="007B7223">
        <w:rPr>
          <w:rStyle w:val="normaltextrun"/>
          <w:color w:val="000000"/>
        </w:rPr>
        <w:t xml:space="preserve">. The Dossier Submitter </w:t>
      </w:r>
      <w:r w:rsidRPr="007B7223">
        <w:rPr>
          <w:lang w:val="en-IE"/>
        </w:rPr>
        <w:t xml:space="preserve">considered that </w:t>
      </w:r>
      <w:r w:rsidR="00D848AA" w:rsidRPr="007B7223">
        <w:rPr>
          <w:lang w:val="en-IE"/>
        </w:rPr>
        <w:t xml:space="preserve">those </w:t>
      </w:r>
      <w:r w:rsidRPr="007B7223">
        <w:rPr>
          <w:lang w:val="en-IE"/>
        </w:rPr>
        <w:t xml:space="preserve">applications do not contribute significantly to the overall risk from PHT because PHT is contained in a closed vessel during the application service life and the </w:t>
      </w:r>
      <w:r w:rsidR="009C2CC9" w:rsidRPr="007B7223">
        <w:rPr>
          <w:lang w:val="en-IE"/>
        </w:rPr>
        <w:t xml:space="preserve">relevant </w:t>
      </w:r>
      <w:r w:rsidRPr="007B7223">
        <w:rPr>
          <w:lang w:val="en-IE"/>
        </w:rPr>
        <w:t xml:space="preserve">provisions </w:t>
      </w:r>
      <w:r w:rsidR="000C432D" w:rsidRPr="007B7223">
        <w:rPr>
          <w:lang w:val="en-IE"/>
        </w:rPr>
        <w:t xml:space="preserve">of </w:t>
      </w:r>
      <w:r w:rsidRPr="007B7223">
        <w:rPr>
          <w:rStyle w:val="normaltextrun"/>
          <w:color w:val="000000"/>
        </w:rPr>
        <w:t>Directive 2012/19/EU</w:t>
      </w:r>
      <w:r w:rsidRPr="007B7223">
        <w:rPr>
          <w:lang w:val="en-IE"/>
        </w:rPr>
        <w:t xml:space="preserve"> </w:t>
      </w:r>
      <w:r w:rsidR="00943E91" w:rsidRPr="007B7223">
        <w:rPr>
          <w:lang w:val="en-IE"/>
        </w:rPr>
        <w:t xml:space="preserve">are to </w:t>
      </w:r>
      <w:r w:rsidRPr="007B7223">
        <w:rPr>
          <w:lang w:val="en-IE"/>
        </w:rPr>
        <w:t xml:space="preserve">ensure the minimisation of releases at the waste stage. Finally, the Dossier Submitter proposed to defer by </w:t>
      </w:r>
      <w:r w:rsidR="009B1BB6" w:rsidRPr="007B7223">
        <w:rPr>
          <w:lang w:val="en-IE"/>
        </w:rPr>
        <w:t xml:space="preserve">five </w:t>
      </w:r>
      <w:r w:rsidRPr="007B7223">
        <w:rPr>
          <w:lang w:val="en-IE"/>
        </w:rPr>
        <w:t xml:space="preserve">years the implementation of the restriction in </w:t>
      </w:r>
      <w:r w:rsidRPr="007B7223">
        <w:rPr>
          <w:rStyle w:val="normaltextrun"/>
          <w:color w:val="000000"/>
        </w:rPr>
        <w:t>aerospace and defence applications, including aircrafts, spare parts, maintenance and repairs,</w:t>
      </w:r>
      <w:r w:rsidRPr="007B7223">
        <w:t xml:space="preserve"> as the</w:t>
      </w:r>
      <w:r w:rsidRPr="007B7223">
        <w:rPr>
          <w:rStyle w:val="normaltextrun"/>
          <w:color w:val="000000"/>
        </w:rPr>
        <w:t xml:space="preserve"> aerospace and defence</w:t>
      </w:r>
      <w:r w:rsidRPr="007B7223">
        <w:t xml:space="preserve"> sector</w:t>
      </w:r>
      <w:r w:rsidR="00D87723" w:rsidRPr="007B7223">
        <w:t>s</w:t>
      </w:r>
      <w:r w:rsidRPr="007B7223">
        <w:t xml:space="preserve"> need a longer </w:t>
      </w:r>
      <w:r w:rsidR="00810CA6" w:rsidRPr="007B7223">
        <w:t xml:space="preserve">deferral </w:t>
      </w:r>
      <w:r w:rsidRPr="007B7223">
        <w:t xml:space="preserve">period than </w:t>
      </w:r>
      <w:r w:rsidR="00CF22CF" w:rsidRPr="007B7223">
        <w:t>other sectors</w:t>
      </w:r>
      <w:r w:rsidRPr="007B7223">
        <w:rPr>
          <w:rStyle w:val="normaltextrun"/>
          <w:color w:val="000000"/>
        </w:rPr>
        <w:t xml:space="preserve"> to substitute PHT due to their strict safety and certification requirements. Information from the stakeholder consultation suggested that replacing PHT in aerospace and defence applications would likely require significant redesign, requalification and recertification activities that would take several years. Restricting PHT without having a certified substitute would lead to the closure of facilities established in the Union.</w:t>
      </w:r>
      <w:r w:rsidRPr="007B7223">
        <w:rPr>
          <w:rStyle w:val="eop"/>
          <w:color w:val="000000"/>
          <w:shd w:val="clear" w:color="auto" w:fill="FFFFFF"/>
        </w:rPr>
        <w:t xml:space="preserve"> The Dossier Submitter considered a </w:t>
      </w:r>
      <w:r w:rsidR="00B85317" w:rsidRPr="007B7223">
        <w:rPr>
          <w:rStyle w:val="eop"/>
          <w:color w:val="000000"/>
          <w:shd w:val="clear" w:color="auto" w:fill="FFFFFF"/>
        </w:rPr>
        <w:t>five-year</w:t>
      </w:r>
      <w:r w:rsidRPr="007B7223">
        <w:rPr>
          <w:rStyle w:val="eop"/>
          <w:color w:val="000000"/>
          <w:shd w:val="clear" w:color="auto" w:fill="FFFFFF"/>
        </w:rPr>
        <w:t xml:space="preserve"> deferral sufficient because it assumed that the work to develop alternatives would have started when PHT was included in the candidate list </w:t>
      </w:r>
      <w:r w:rsidRPr="007B7223">
        <w:t>of substances of very high concern</w:t>
      </w:r>
      <w:r w:rsidRPr="007B7223">
        <w:rPr>
          <w:rStyle w:val="eop"/>
          <w:color w:val="000000"/>
          <w:shd w:val="clear" w:color="auto" w:fill="FFFFFF"/>
        </w:rPr>
        <w:t xml:space="preserve"> in 2018. Consequently, taking into account the proposed </w:t>
      </w:r>
      <w:r w:rsidR="00A2326A" w:rsidRPr="007B7223">
        <w:rPr>
          <w:rStyle w:val="eop"/>
          <w:color w:val="000000"/>
          <w:shd w:val="clear" w:color="auto" w:fill="FFFFFF"/>
        </w:rPr>
        <w:t>five</w:t>
      </w:r>
      <w:r w:rsidRPr="007B7223">
        <w:rPr>
          <w:rStyle w:val="eop"/>
          <w:color w:val="000000"/>
          <w:shd w:val="clear" w:color="auto" w:fill="FFFFFF"/>
        </w:rPr>
        <w:t>-year deferral, the aerospace and defence industry would have more than 10 years to develop and certify PHT alternatives.</w:t>
      </w:r>
    </w:p>
    <w:p w14:paraId="4973AF68" w14:textId="2A6C4416" w:rsidR="00A4768A" w:rsidRPr="007B7223" w:rsidRDefault="00A4768A" w:rsidP="00A4768A">
      <w:pPr>
        <w:pStyle w:val="Considrant"/>
        <w:rPr>
          <w:rStyle w:val="normaltextrun"/>
          <w:color w:val="000000"/>
        </w:rPr>
      </w:pPr>
      <w:r w:rsidRPr="007B7223">
        <w:rPr>
          <w:rStyle w:val="normaltextrun"/>
          <w:color w:val="000000"/>
        </w:rPr>
        <w:t xml:space="preserve">According to the </w:t>
      </w:r>
      <w:r w:rsidR="00B85317" w:rsidRPr="007B7223">
        <w:rPr>
          <w:rStyle w:val="normaltextrun"/>
          <w:color w:val="000000"/>
        </w:rPr>
        <w:t xml:space="preserve">Annex XV </w:t>
      </w:r>
      <w:r w:rsidRPr="007B7223">
        <w:rPr>
          <w:rStyle w:val="normaltextrun"/>
          <w:color w:val="000000"/>
        </w:rPr>
        <w:t xml:space="preserve">dossier, PHT is not manufactured in the </w:t>
      </w:r>
      <w:r w:rsidR="00751F14" w:rsidRPr="007B7223">
        <w:rPr>
          <w:rStyle w:val="normaltextrun"/>
          <w:color w:val="000000"/>
        </w:rPr>
        <w:t>Union</w:t>
      </w:r>
      <w:r w:rsidRPr="007B7223">
        <w:rPr>
          <w:rStyle w:val="normaltextrun"/>
          <w:color w:val="000000"/>
        </w:rPr>
        <w:t xml:space="preserve">. The Dossier Submitter estimated the imported volume </w:t>
      </w:r>
      <w:r w:rsidR="00183172" w:rsidRPr="007B7223">
        <w:rPr>
          <w:rStyle w:val="normaltextrun"/>
          <w:color w:val="000000"/>
        </w:rPr>
        <w:t xml:space="preserve">of PHT </w:t>
      </w:r>
      <w:r w:rsidRPr="007B7223">
        <w:rPr>
          <w:rStyle w:val="normaltextrun"/>
          <w:color w:val="000000"/>
        </w:rPr>
        <w:t>at 7</w:t>
      </w:r>
      <w:r w:rsidR="00B85317" w:rsidRPr="007B7223">
        <w:rPr>
          <w:rStyle w:val="normaltextrun"/>
          <w:color w:val="000000"/>
        </w:rPr>
        <w:t> </w:t>
      </w:r>
      <w:r w:rsidRPr="007B7223">
        <w:rPr>
          <w:rStyle w:val="normaltextrun"/>
          <w:color w:val="000000"/>
        </w:rPr>
        <w:t xml:space="preserve">500 tonnes in 2020. PHT is mainly used as an HTF </w:t>
      </w:r>
      <w:r w:rsidR="0052498C" w:rsidRPr="007B7223">
        <w:rPr>
          <w:rStyle w:val="normaltextrun"/>
          <w:color w:val="000000"/>
        </w:rPr>
        <w:t xml:space="preserve">at </w:t>
      </w:r>
      <w:r w:rsidRPr="007B7223">
        <w:rPr>
          <w:rStyle w:val="normaltextrun"/>
          <w:color w:val="000000"/>
        </w:rPr>
        <w:t>industrial sites, where it is heated at high temperatures and circulated in a closed system to transfer heat to areas of the site with heat demands. PHT is also used as HTF in certain articles for use by consumers, i.e. in thermostats. The HTF use accounts for approximately 90% of the annual imported volume of PHT. The remaining 10% is used as (1)</w:t>
      </w:r>
      <w:r w:rsidR="00B85317" w:rsidRPr="007B7223">
        <w:rPr>
          <w:rStyle w:val="normaltextrun"/>
          <w:color w:val="000000"/>
        </w:rPr>
        <w:t> </w:t>
      </w:r>
      <w:r w:rsidRPr="007B7223">
        <w:rPr>
          <w:rStyle w:val="normaltextrun"/>
          <w:color w:val="000000"/>
        </w:rPr>
        <w:t>a plasticiser in the production of articles (e.g. cables</w:t>
      </w:r>
      <w:r w:rsidR="00AE57B4" w:rsidRPr="007B7223">
        <w:rPr>
          <w:rStyle w:val="normaltextrun"/>
          <w:color w:val="000000"/>
        </w:rPr>
        <w:t>,</w:t>
      </w:r>
      <w:r w:rsidRPr="007B7223">
        <w:rPr>
          <w:rStyle w:val="normaltextrun"/>
          <w:color w:val="000000"/>
        </w:rPr>
        <w:t xml:space="preserve"> parts of cars</w:t>
      </w:r>
      <w:r w:rsidR="00AE57B4" w:rsidRPr="007B7223">
        <w:rPr>
          <w:rStyle w:val="normaltextrun"/>
          <w:color w:val="000000"/>
        </w:rPr>
        <w:t>,</w:t>
      </w:r>
      <w:r w:rsidRPr="007B7223">
        <w:rPr>
          <w:rStyle w:val="normaltextrun"/>
          <w:color w:val="000000"/>
        </w:rPr>
        <w:t xml:space="preserve"> trains</w:t>
      </w:r>
      <w:r w:rsidR="00B04798" w:rsidRPr="007B7223">
        <w:rPr>
          <w:rStyle w:val="normaltextrun"/>
          <w:color w:val="000000"/>
        </w:rPr>
        <w:t>,</w:t>
      </w:r>
      <w:r w:rsidRPr="007B7223">
        <w:rPr>
          <w:rStyle w:val="normaltextrun"/>
          <w:color w:val="000000"/>
        </w:rPr>
        <w:t xml:space="preserve"> planes</w:t>
      </w:r>
      <w:r w:rsidR="00B04798" w:rsidRPr="007B7223">
        <w:rPr>
          <w:rStyle w:val="normaltextrun"/>
          <w:color w:val="000000"/>
        </w:rPr>
        <w:t>,</w:t>
      </w:r>
      <w:r w:rsidRPr="007B7223">
        <w:rPr>
          <w:rStyle w:val="normaltextrun"/>
          <w:color w:val="000000"/>
        </w:rPr>
        <w:t xml:space="preserve"> electrical and electronic equipment</w:t>
      </w:r>
      <w:r w:rsidR="00B04798" w:rsidRPr="007B7223">
        <w:rPr>
          <w:rStyle w:val="normaltextrun"/>
          <w:color w:val="000000"/>
        </w:rPr>
        <w:t>,</w:t>
      </w:r>
      <w:r w:rsidRPr="007B7223">
        <w:rPr>
          <w:rStyle w:val="normaltextrun"/>
          <w:color w:val="000000"/>
        </w:rPr>
        <w:t xml:space="preserve"> construction and building components</w:t>
      </w:r>
      <w:r w:rsidR="00B04798" w:rsidRPr="007B7223">
        <w:rPr>
          <w:rStyle w:val="normaltextrun"/>
          <w:color w:val="000000"/>
        </w:rPr>
        <w:t>,</w:t>
      </w:r>
      <w:r w:rsidRPr="007B7223">
        <w:rPr>
          <w:rStyle w:val="normaltextrun"/>
          <w:color w:val="000000"/>
        </w:rPr>
        <w:t xml:space="preserve"> furnishing); (2)</w:t>
      </w:r>
      <w:r w:rsidR="00B85317" w:rsidRPr="007B7223">
        <w:rPr>
          <w:rStyle w:val="normaltextrun"/>
          <w:color w:val="000000"/>
        </w:rPr>
        <w:t> </w:t>
      </w:r>
      <w:r w:rsidRPr="007B7223">
        <w:rPr>
          <w:rStyle w:val="normaltextrun"/>
          <w:color w:val="000000"/>
        </w:rPr>
        <w:t>a plasticiser in the production of mixtures (e.g. sealants</w:t>
      </w:r>
      <w:r w:rsidR="00B04798" w:rsidRPr="007B7223">
        <w:rPr>
          <w:rStyle w:val="normaltextrun"/>
          <w:color w:val="000000"/>
        </w:rPr>
        <w:t>,</w:t>
      </w:r>
      <w:r w:rsidRPr="007B7223">
        <w:rPr>
          <w:rStyle w:val="normaltextrun"/>
          <w:color w:val="000000"/>
        </w:rPr>
        <w:t xml:space="preserve"> adhesives</w:t>
      </w:r>
      <w:r w:rsidR="00B04798" w:rsidRPr="007B7223">
        <w:rPr>
          <w:rStyle w:val="normaltextrun"/>
          <w:color w:val="000000"/>
        </w:rPr>
        <w:t>,</w:t>
      </w:r>
      <w:r w:rsidRPr="007B7223">
        <w:rPr>
          <w:rStyle w:val="normaltextrun"/>
          <w:color w:val="000000"/>
        </w:rPr>
        <w:t xml:space="preserve"> paints</w:t>
      </w:r>
      <w:r w:rsidR="00B04798" w:rsidRPr="007B7223">
        <w:rPr>
          <w:rStyle w:val="normaltextrun"/>
          <w:color w:val="000000"/>
        </w:rPr>
        <w:t>,</w:t>
      </w:r>
      <w:r w:rsidRPr="007B7223">
        <w:rPr>
          <w:rStyle w:val="normaltextrun"/>
          <w:color w:val="000000"/>
        </w:rPr>
        <w:t xml:space="preserve"> inks</w:t>
      </w:r>
      <w:r w:rsidR="00B04798" w:rsidRPr="007B7223">
        <w:rPr>
          <w:rStyle w:val="normaltextrun"/>
          <w:color w:val="000000"/>
        </w:rPr>
        <w:t>,</w:t>
      </w:r>
      <w:r w:rsidRPr="007B7223">
        <w:rPr>
          <w:rStyle w:val="normaltextrun"/>
          <w:color w:val="000000"/>
        </w:rPr>
        <w:t xml:space="preserve"> catalysts</w:t>
      </w:r>
      <w:r w:rsidR="00B04798" w:rsidRPr="007B7223">
        <w:rPr>
          <w:rStyle w:val="normaltextrun"/>
          <w:color w:val="000000"/>
        </w:rPr>
        <w:t>,</w:t>
      </w:r>
      <w:r w:rsidRPr="007B7223">
        <w:rPr>
          <w:rStyle w:val="normaltextrun"/>
          <w:color w:val="000000"/>
        </w:rPr>
        <w:t xml:space="preserve"> encapsulants) and </w:t>
      </w:r>
      <w:r w:rsidR="00F95E5E" w:rsidRPr="007B7223">
        <w:rPr>
          <w:rStyle w:val="normaltextrun"/>
          <w:color w:val="000000"/>
        </w:rPr>
        <w:t xml:space="preserve">in </w:t>
      </w:r>
      <w:r w:rsidRPr="007B7223">
        <w:rPr>
          <w:rStyle w:val="normaltextrun"/>
          <w:color w:val="000000"/>
        </w:rPr>
        <w:t>polymer applications, used in a wide variety of industrial sectors, including by the aerospace and defence industry; and (3)</w:t>
      </w:r>
      <w:r w:rsidR="00B85317" w:rsidRPr="007B7223">
        <w:rPr>
          <w:rStyle w:val="normaltextrun"/>
          <w:color w:val="000000"/>
        </w:rPr>
        <w:t> </w:t>
      </w:r>
      <w:r w:rsidRPr="007B7223">
        <w:rPr>
          <w:rStyle w:val="normaltextrun"/>
          <w:color w:val="000000"/>
        </w:rPr>
        <w:t>a processing solvent or a laboratory chemical for professional use.</w:t>
      </w:r>
    </w:p>
    <w:p w14:paraId="761D0025" w14:textId="4B44C84D" w:rsidR="00A4768A" w:rsidRPr="007B7223" w:rsidRDefault="00A4768A" w:rsidP="00A4768A">
      <w:pPr>
        <w:pStyle w:val="Considrant"/>
        <w:rPr>
          <w:rStyle w:val="normaltextrun"/>
        </w:rPr>
      </w:pPr>
      <w:r w:rsidRPr="007B7223">
        <w:rPr>
          <w:rStyle w:val="normaltextrun"/>
        </w:rPr>
        <w:t xml:space="preserve">The Dossier Submitter noted that </w:t>
      </w:r>
      <w:bookmarkStart w:id="5" w:name="_Hlk219125199"/>
      <w:r w:rsidRPr="007B7223">
        <w:rPr>
          <w:rStyle w:val="normaltextrun"/>
        </w:rPr>
        <w:t>vPvB substances, including PHT, give rise to specific concerns</w:t>
      </w:r>
      <w:r w:rsidR="00E170D9" w:rsidRPr="007B7223">
        <w:rPr>
          <w:rStyle w:val="normaltextrun"/>
        </w:rPr>
        <w:t xml:space="preserve"> for the environment and human health</w:t>
      </w:r>
      <w:r w:rsidRPr="007B7223">
        <w:rPr>
          <w:rStyle w:val="normaltextrun"/>
        </w:rPr>
        <w:t xml:space="preserve"> based on their potential to accumulate in the environment and in living organisms, </w:t>
      </w:r>
      <w:r w:rsidR="00B623E0" w:rsidRPr="007B7223">
        <w:rPr>
          <w:rStyle w:val="normaltextrun"/>
        </w:rPr>
        <w:t xml:space="preserve">including human bodies, </w:t>
      </w:r>
      <w:r w:rsidRPr="007B7223">
        <w:rPr>
          <w:rStyle w:val="normaltextrun"/>
        </w:rPr>
        <w:t xml:space="preserve">and cause effects that are unpredictable in the long-term and difficult to reverse even when releases cease. </w:t>
      </w:r>
      <w:r w:rsidR="008674C3" w:rsidRPr="007B7223">
        <w:rPr>
          <w:rStyle w:val="normaltextrun"/>
        </w:rPr>
        <w:t xml:space="preserve">It </w:t>
      </w:r>
      <w:r w:rsidR="00267823" w:rsidRPr="007B7223">
        <w:rPr>
          <w:rStyle w:val="normaltextrun"/>
        </w:rPr>
        <w:t>noted that t</w:t>
      </w:r>
      <w:r w:rsidRPr="007B7223">
        <w:rPr>
          <w:rStyle w:val="normaltextrun"/>
        </w:rPr>
        <w:t>here is no safe concentration for vPvB substances</w:t>
      </w:r>
      <w:r w:rsidR="001C165F" w:rsidRPr="007B7223">
        <w:rPr>
          <w:rStyle w:val="normaltextrun"/>
        </w:rPr>
        <w:t xml:space="preserve"> such as PHT,</w:t>
      </w:r>
      <w:r w:rsidR="007E0606" w:rsidRPr="007B7223">
        <w:rPr>
          <w:rStyle w:val="normaltextrun"/>
        </w:rPr>
        <w:t xml:space="preserve"> and that </w:t>
      </w:r>
      <w:r w:rsidR="00FE2621" w:rsidRPr="007B7223">
        <w:rPr>
          <w:rStyle w:val="normaltextrun"/>
        </w:rPr>
        <w:t xml:space="preserve">PHT </w:t>
      </w:r>
      <w:r w:rsidR="007E0606" w:rsidRPr="007B7223">
        <w:rPr>
          <w:rStyle w:val="normaltextrun"/>
        </w:rPr>
        <w:t xml:space="preserve">emissions </w:t>
      </w:r>
      <w:r w:rsidR="00045368" w:rsidRPr="007B7223">
        <w:rPr>
          <w:rStyle w:val="normaltextrun"/>
        </w:rPr>
        <w:t>to the environment</w:t>
      </w:r>
      <w:r w:rsidR="00B623E0" w:rsidRPr="007B7223">
        <w:rPr>
          <w:rStyle w:val="normaltextrun"/>
        </w:rPr>
        <w:t>,</w:t>
      </w:r>
      <w:r w:rsidR="00045368" w:rsidRPr="007B7223">
        <w:rPr>
          <w:rStyle w:val="normaltextrun"/>
        </w:rPr>
        <w:t xml:space="preserve"> </w:t>
      </w:r>
      <w:r w:rsidRPr="007B7223">
        <w:rPr>
          <w:rStyle w:val="normaltextrun"/>
        </w:rPr>
        <w:t xml:space="preserve">and subsequent </w:t>
      </w:r>
      <w:r w:rsidR="00B623E0" w:rsidRPr="007B7223">
        <w:rPr>
          <w:rStyle w:val="normaltextrun"/>
        </w:rPr>
        <w:t xml:space="preserve">environmental and </w:t>
      </w:r>
      <w:r w:rsidR="00393A64" w:rsidRPr="007B7223">
        <w:rPr>
          <w:rStyle w:val="normaltextrun"/>
        </w:rPr>
        <w:t xml:space="preserve">human </w:t>
      </w:r>
      <w:r w:rsidRPr="007B7223">
        <w:rPr>
          <w:rStyle w:val="normaltextrun"/>
        </w:rPr>
        <w:t>exposure</w:t>
      </w:r>
      <w:r w:rsidR="00B623E0" w:rsidRPr="007B7223">
        <w:rPr>
          <w:rStyle w:val="normaltextrun"/>
        </w:rPr>
        <w:t xml:space="preserve"> to PHT</w:t>
      </w:r>
      <w:r w:rsidR="001368EF" w:rsidRPr="007B7223">
        <w:rPr>
          <w:rStyle w:val="normaltextrun"/>
        </w:rPr>
        <w:t xml:space="preserve"> </w:t>
      </w:r>
      <w:r w:rsidR="000E1DEB" w:rsidRPr="007B7223">
        <w:rPr>
          <w:rStyle w:val="normaltextrun"/>
        </w:rPr>
        <w:t>are</w:t>
      </w:r>
      <w:r w:rsidRPr="007B7223">
        <w:rPr>
          <w:rStyle w:val="normaltextrun"/>
        </w:rPr>
        <w:t xml:space="preserve"> considered as a proxy for risk</w:t>
      </w:r>
      <w:r w:rsidR="00D51FF5" w:rsidRPr="007B7223">
        <w:rPr>
          <w:rStyle w:val="normaltextrun"/>
        </w:rPr>
        <w:t>s to the environment and human health</w:t>
      </w:r>
      <w:r w:rsidRPr="007B7223">
        <w:rPr>
          <w:rStyle w:val="normaltextrun"/>
        </w:rPr>
        <w:t xml:space="preserve">. </w:t>
      </w:r>
      <w:r w:rsidR="00E170D9" w:rsidRPr="007B7223">
        <w:rPr>
          <w:rStyle w:val="normaltextrun"/>
        </w:rPr>
        <w:t xml:space="preserve">The Dossier Submitter </w:t>
      </w:r>
      <w:r w:rsidR="00D51FF5" w:rsidRPr="007B7223">
        <w:rPr>
          <w:rStyle w:val="normaltextrun"/>
        </w:rPr>
        <w:t xml:space="preserve">noted that emissions to the environment </w:t>
      </w:r>
      <w:r w:rsidR="007C7533" w:rsidRPr="007B7223">
        <w:rPr>
          <w:rStyle w:val="normaltextrun"/>
        </w:rPr>
        <w:t xml:space="preserve">are possible for all PHT uses but </w:t>
      </w:r>
      <w:r w:rsidR="00B623E0" w:rsidRPr="007B7223">
        <w:rPr>
          <w:rStyle w:val="normaltextrun"/>
        </w:rPr>
        <w:t xml:space="preserve">are </w:t>
      </w:r>
      <w:r w:rsidR="007C7533" w:rsidRPr="007B7223">
        <w:rPr>
          <w:rStyle w:val="normaltextrun"/>
        </w:rPr>
        <w:t xml:space="preserve">much higher for the use of PHT as plasticiser. </w:t>
      </w:r>
      <w:r w:rsidR="00B623E0" w:rsidRPr="007B7223">
        <w:t>Exposure to PHT mainly occurs from releases to air and water from point sources as well as via diffuse emissions.</w:t>
      </w:r>
      <w:r w:rsidR="00B623E0" w:rsidRPr="007B7223">
        <w:rPr>
          <w:rStyle w:val="normaltextrun"/>
        </w:rPr>
        <w:t xml:space="preserve"> In particular, t</w:t>
      </w:r>
      <w:r w:rsidR="007C7533" w:rsidRPr="007B7223">
        <w:rPr>
          <w:rStyle w:val="normaltextrun"/>
        </w:rPr>
        <w:t>he</w:t>
      </w:r>
      <w:r w:rsidR="00B623E0" w:rsidRPr="007B7223">
        <w:rPr>
          <w:rStyle w:val="normaltextrun"/>
        </w:rPr>
        <w:t xml:space="preserve"> Dossier Submitter</w:t>
      </w:r>
      <w:r w:rsidR="007C7533" w:rsidRPr="007B7223">
        <w:rPr>
          <w:rStyle w:val="normaltextrun"/>
        </w:rPr>
        <w:t xml:space="preserve"> </w:t>
      </w:r>
      <w:r w:rsidR="00187E86" w:rsidRPr="007B7223">
        <w:rPr>
          <w:rStyle w:val="normaltextrun"/>
        </w:rPr>
        <w:t xml:space="preserve">performed a </w:t>
      </w:r>
      <w:r w:rsidR="00187E86" w:rsidRPr="007B7223">
        <w:rPr>
          <w:lang w:val="en-IE"/>
        </w:rPr>
        <w:t>qualitative environmental exposure assessment</w:t>
      </w:r>
      <w:r w:rsidR="00187E86" w:rsidRPr="007B7223">
        <w:t xml:space="preserve"> and </w:t>
      </w:r>
      <w:r w:rsidR="007C7533" w:rsidRPr="007B7223">
        <w:rPr>
          <w:rStyle w:val="normaltextrun"/>
        </w:rPr>
        <w:t xml:space="preserve">estimated </w:t>
      </w:r>
      <w:r w:rsidR="00B623E0" w:rsidRPr="007B7223">
        <w:rPr>
          <w:rStyle w:val="normaltextrun"/>
        </w:rPr>
        <w:t xml:space="preserve">the possible </w:t>
      </w:r>
      <w:r w:rsidR="00D51FF5" w:rsidRPr="007B7223">
        <w:rPr>
          <w:rStyle w:val="normaltextrun"/>
        </w:rPr>
        <w:t xml:space="preserve">human exposure </w:t>
      </w:r>
      <w:r w:rsidR="007C7533" w:rsidRPr="007B7223">
        <w:rPr>
          <w:rStyle w:val="normaltextrun"/>
        </w:rPr>
        <w:t xml:space="preserve">to PHT </w:t>
      </w:r>
      <w:r w:rsidR="00D51FF5" w:rsidRPr="007B7223">
        <w:rPr>
          <w:rStyle w:val="normaltextrun"/>
        </w:rPr>
        <w:t>via the environment</w:t>
      </w:r>
      <w:r w:rsidR="007C7533" w:rsidRPr="007B7223">
        <w:rPr>
          <w:rStyle w:val="normaltextrun"/>
        </w:rPr>
        <w:t>.</w:t>
      </w:r>
      <w:r w:rsidR="00D51FF5" w:rsidRPr="007B7223">
        <w:rPr>
          <w:rStyle w:val="normaltextrun"/>
        </w:rPr>
        <w:t xml:space="preserve"> </w:t>
      </w:r>
      <w:r w:rsidRPr="007B7223">
        <w:rPr>
          <w:rStyle w:val="normaltextrun"/>
        </w:rPr>
        <w:t xml:space="preserve">On the basis of the available evidence, the Dossier Submitter concluded that the risk to the environment and human health (via the environment) associated to the use of PHT is not adequately controlled, action is required at a Union level to address that risk, </w:t>
      </w:r>
      <w:bookmarkEnd w:id="5"/>
      <w:r w:rsidRPr="007B7223">
        <w:rPr>
          <w:rStyle w:val="normaltextrun"/>
        </w:rPr>
        <w:t xml:space="preserve">and the proposed restriction is the most appropriate measure to address that risk. </w:t>
      </w:r>
    </w:p>
    <w:p w14:paraId="519B83B3" w14:textId="150BACAF" w:rsidR="00A4768A" w:rsidRPr="007B7223" w:rsidRDefault="00A4768A" w:rsidP="00A4768A">
      <w:pPr>
        <w:pStyle w:val="Considrant"/>
        <w:rPr>
          <w:rStyle w:val="normaltextrun"/>
        </w:rPr>
      </w:pPr>
      <w:r w:rsidRPr="007B7223">
        <w:rPr>
          <w:rStyle w:val="normaltextrun"/>
        </w:rPr>
        <w:t>The Dossier Submitter concluded that, w</w:t>
      </w:r>
      <w:r w:rsidRPr="007B7223">
        <w:rPr>
          <w:rStyle w:val="normaltextrun"/>
          <w:color w:val="000000"/>
        </w:rPr>
        <w:t xml:space="preserve">hen PHT is used as an HTF at industrial sites, the associated risk is low because PHT is contained in a closed system and releases to the environment are very limited. However, some </w:t>
      </w:r>
      <w:r w:rsidRPr="007B7223">
        <w:rPr>
          <w:rStyle w:val="normaltextrun"/>
        </w:rPr>
        <w:t>emissions are still possible, for example when the closed system is loaded or refilled with PHT, or when PHT is disposed of. As vPvB chemicals are non-threshold substances</w:t>
      </w:r>
      <w:r w:rsidR="00582DB7" w:rsidRPr="007B7223">
        <w:rPr>
          <w:rStyle w:val="normaltextrun"/>
        </w:rPr>
        <w:t xml:space="preserve"> whereby</w:t>
      </w:r>
      <w:r w:rsidRPr="007B7223">
        <w:rPr>
          <w:rStyle w:val="normaltextrun"/>
        </w:rPr>
        <w:t xml:space="preserve"> it is not possible to derive a concentration threshold under which exposure to the substance is safe, even low levels of environmental emissions could pose a risk</w:t>
      </w:r>
      <w:r w:rsidR="00393A64" w:rsidRPr="007B7223">
        <w:rPr>
          <w:rStyle w:val="normaltextrun"/>
        </w:rPr>
        <w:t xml:space="preserve"> to the environment and to human health</w:t>
      </w:r>
      <w:r w:rsidRPr="007B7223">
        <w:rPr>
          <w:rStyle w:val="normaltextrun"/>
        </w:rPr>
        <w:t>. Therefore, the Dossier Submitter concluded that strict risk management measures to minimise potential emissions are necessary. The Dossier Submitter considered</w:t>
      </w:r>
      <w:r w:rsidRPr="007B7223">
        <w:rPr>
          <w:rStyle w:val="normaltextrun"/>
          <w:color w:val="000000"/>
        </w:rPr>
        <w:t xml:space="preserve"> </w:t>
      </w:r>
      <w:r w:rsidRPr="007B7223">
        <w:rPr>
          <w:color w:val="000000"/>
        </w:rPr>
        <w:t xml:space="preserve">that the use of PHT as a HTF at industrial sites should be permitted only in heat transfer systems which </w:t>
      </w:r>
      <w:r w:rsidRPr="007B7223">
        <w:rPr>
          <w:rStyle w:val="normaltextrun"/>
          <w:color w:val="000000"/>
        </w:rPr>
        <w:t xml:space="preserve">are leak-tight, closed and operated under strictly controlled conditions ensuring that </w:t>
      </w:r>
      <w:r w:rsidRPr="007B7223">
        <w:rPr>
          <w:color w:val="000000"/>
          <w:lang w:val="en-IE"/>
        </w:rPr>
        <w:t>leak tightness is continuously preserved through maintenance and monitoring</w:t>
      </w:r>
      <w:r w:rsidRPr="007B7223">
        <w:rPr>
          <w:rStyle w:val="normaltextrun"/>
          <w:color w:val="000000"/>
        </w:rPr>
        <w:t>. The Dossier Submitter recommended a set of technical containment and organisational measures that heat transfer systems using PHT need to have in place to be considered strictly controlled closed systems and guarantee an elevated level of protection against environmental releases. The recommendations covered the entire life cycle of the heat transfer systems, including</w:t>
      </w:r>
      <w:r w:rsidR="001B634D" w:rsidRPr="007B7223">
        <w:rPr>
          <w:rStyle w:val="normaltextrun"/>
          <w:color w:val="000000"/>
        </w:rPr>
        <w:t>:</w:t>
      </w:r>
      <w:r w:rsidRPr="007B7223">
        <w:rPr>
          <w:rStyle w:val="normaltextrun"/>
          <w:color w:val="000000"/>
        </w:rPr>
        <w:t xml:space="preserve"> (1) their design and construction</w:t>
      </w:r>
      <w:r w:rsidR="001B634D" w:rsidRPr="007B7223">
        <w:rPr>
          <w:rStyle w:val="normaltextrun"/>
          <w:color w:val="000000"/>
        </w:rPr>
        <w:t>;</w:t>
      </w:r>
      <w:r w:rsidRPr="007B7223">
        <w:rPr>
          <w:rStyle w:val="normaltextrun"/>
          <w:color w:val="000000"/>
        </w:rPr>
        <w:t xml:space="preserve"> (2) their filling, start-up, shutdown, and draining</w:t>
      </w:r>
      <w:r w:rsidR="001B634D" w:rsidRPr="007B7223">
        <w:rPr>
          <w:rStyle w:val="normaltextrun"/>
          <w:color w:val="000000"/>
        </w:rPr>
        <w:t>;</w:t>
      </w:r>
      <w:r w:rsidRPr="007B7223">
        <w:rPr>
          <w:rStyle w:val="normaltextrun"/>
          <w:color w:val="000000"/>
        </w:rPr>
        <w:t xml:space="preserve"> (3) their operations and maintenance</w:t>
      </w:r>
      <w:r w:rsidR="001B634D" w:rsidRPr="007B7223">
        <w:rPr>
          <w:rStyle w:val="normaltextrun"/>
          <w:color w:val="000000"/>
        </w:rPr>
        <w:t>;</w:t>
      </w:r>
      <w:r w:rsidRPr="007B7223">
        <w:rPr>
          <w:rStyle w:val="normaltextrun"/>
          <w:color w:val="000000"/>
        </w:rPr>
        <w:t xml:space="preserve"> (4) their cleaning, dismantling, decommissioning and disposing of as waste</w:t>
      </w:r>
      <w:r w:rsidR="001B634D" w:rsidRPr="007B7223">
        <w:rPr>
          <w:rStyle w:val="normaltextrun"/>
          <w:color w:val="000000"/>
        </w:rPr>
        <w:t>;</w:t>
      </w:r>
      <w:r w:rsidRPr="007B7223">
        <w:rPr>
          <w:rStyle w:val="normaltextrun"/>
          <w:color w:val="000000"/>
        </w:rPr>
        <w:t xml:space="preserve"> (5) internal and external inspections and (6) the training of personnel. </w:t>
      </w:r>
    </w:p>
    <w:p w14:paraId="56185865" w14:textId="7844AD85" w:rsidR="00A4768A" w:rsidRPr="007B7223" w:rsidRDefault="00A4768A" w:rsidP="00A4768A">
      <w:pPr>
        <w:pStyle w:val="Considrant"/>
        <w:rPr>
          <w:rStyle w:val="normaltextrun"/>
        </w:rPr>
      </w:pPr>
      <w:r w:rsidRPr="007B7223">
        <w:rPr>
          <w:rStyle w:val="normaltextrun"/>
          <w:color w:val="000000"/>
        </w:rPr>
        <w:t>T</w:t>
      </w:r>
      <w:r w:rsidRPr="007B7223">
        <w:rPr>
          <w:rStyle w:val="normaltextrun"/>
        </w:rPr>
        <w:t>he Dossier Submitter noted</w:t>
      </w:r>
      <w:r w:rsidRPr="007B7223">
        <w:rPr>
          <w:rStyle w:val="normaltextrun"/>
          <w:color w:val="000000"/>
        </w:rPr>
        <w:t xml:space="preserve"> that, when PHT is used as a plasticiser, additive or a processing solvent, PHT releases </w:t>
      </w:r>
      <w:r w:rsidR="00923FFB" w:rsidRPr="007B7223">
        <w:rPr>
          <w:rStyle w:val="normaltextrun"/>
          <w:color w:val="000000"/>
        </w:rPr>
        <w:t xml:space="preserve">and risks </w:t>
      </w:r>
      <w:r w:rsidRPr="007B7223">
        <w:rPr>
          <w:rStyle w:val="normaltextrun"/>
          <w:color w:val="000000"/>
        </w:rPr>
        <w:t>to the environment are up to 10 times higher</w:t>
      </w:r>
      <w:r w:rsidRPr="007B7223">
        <w:rPr>
          <w:rStyle w:val="normaltextrun"/>
        </w:rPr>
        <w:t xml:space="preserve"> than w</w:t>
      </w:r>
      <w:r w:rsidRPr="007B7223">
        <w:rPr>
          <w:rStyle w:val="normaltextrun"/>
          <w:color w:val="000000"/>
        </w:rPr>
        <w:t xml:space="preserve">hen PHT is used as an HTF at industrial sites. The former uses therefore pose the most concern and should be </w:t>
      </w:r>
      <w:r w:rsidR="002E7AC5" w:rsidRPr="007B7223">
        <w:rPr>
          <w:rStyle w:val="normaltextrun"/>
          <w:color w:val="000000"/>
        </w:rPr>
        <w:t xml:space="preserve">covered </w:t>
      </w:r>
      <w:r w:rsidRPr="007B7223">
        <w:rPr>
          <w:rStyle w:val="normaltextrun"/>
          <w:color w:val="000000"/>
        </w:rPr>
        <w:t>as a priority by the restriction.</w:t>
      </w:r>
    </w:p>
    <w:p w14:paraId="7F0409E2" w14:textId="68C61229" w:rsidR="00A4768A" w:rsidRPr="007B7223" w:rsidRDefault="00A4768A" w:rsidP="00A4768A">
      <w:pPr>
        <w:pStyle w:val="Considrant"/>
        <w:rPr>
          <w:rStyle w:val="normaltextrun"/>
        </w:rPr>
      </w:pPr>
      <w:r w:rsidRPr="007B7223">
        <w:rPr>
          <w:rStyle w:val="normaltextrun"/>
        </w:rPr>
        <w:t xml:space="preserve">The Dossier Submitter noted that PHT is present in waste from articles and complex objects, such as vehicles (e.g. cars, trains, planes), electrical and electronic equipment, construction and building components, and furnishing. The Dossier Submitter considered that the separation and proper management of PHT-containing articles and parts thereof at the waste stage is difficult and </w:t>
      </w:r>
      <w:r w:rsidR="000C3CA2" w:rsidRPr="007B7223">
        <w:rPr>
          <w:rStyle w:val="normaltextrun"/>
        </w:rPr>
        <w:t>that</w:t>
      </w:r>
      <w:r w:rsidRPr="007B7223">
        <w:rPr>
          <w:rStyle w:val="normaltextrun"/>
        </w:rPr>
        <w:t xml:space="preserve"> current operational conditions and risk management measures are not sufficient to address the concerns at the waste-stage because the uses in articles are widespread, complex and partly unknown. Therefore, the Dossier Submitter </w:t>
      </w:r>
      <w:r w:rsidR="00B840E3" w:rsidRPr="007B7223">
        <w:rPr>
          <w:rStyle w:val="normaltextrun"/>
        </w:rPr>
        <w:t xml:space="preserve">considered </w:t>
      </w:r>
      <w:r w:rsidRPr="007B7223">
        <w:rPr>
          <w:rStyle w:val="normaltextrun"/>
        </w:rPr>
        <w:t xml:space="preserve">that restricting articles </w:t>
      </w:r>
      <w:r w:rsidR="001A6C6F" w:rsidRPr="007B7223">
        <w:rPr>
          <w:rStyle w:val="normaltextrun"/>
        </w:rPr>
        <w:t>with</w:t>
      </w:r>
      <w:r w:rsidRPr="007B7223">
        <w:rPr>
          <w:rStyle w:val="normaltextrun"/>
        </w:rPr>
        <w:t xml:space="preserve"> </w:t>
      </w:r>
      <w:r w:rsidR="00DD3B73" w:rsidRPr="007B7223">
        <w:rPr>
          <w:rStyle w:val="normaltextrun"/>
        </w:rPr>
        <w:t>a concentration</w:t>
      </w:r>
      <w:r w:rsidR="001A6C6F" w:rsidRPr="007B7223">
        <w:rPr>
          <w:rStyle w:val="normaltextrun"/>
        </w:rPr>
        <w:t xml:space="preserve"> of </w:t>
      </w:r>
      <w:r w:rsidRPr="007B7223">
        <w:rPr>
          <w:rStyle w:val="normaltextrun"/>
        </w:rPr>
        <w:t>0.1% w/w or more of PHT is the most appropriate risk management measure to address risks from those articles, including at the waste stage, except when PHT is used as HTF in thermostats.</w:t>
      </w:r>
    </w:p>
    <w:p w14:paraId="58FC1238" w14:textId="48FDCA40" w:rsidR="00A4768A" w:rsidRPr="007B7223" w:rsidRDefault="00A4768A" w:rsidP="00A4768A">
      <w:pPr>
        <w:pStyle w:val="Considrant"/>
        <w:rPr>
          <w:rStyle w:val="normaltextrun"/>
        </w:rPr>
      </w:pPr>
      <w:r w:rsidRPr="007B7223">
        <w:rPr>
          <w:rStyle w:val="normaltextrun"/>
          <w:color w:val="000000"/>
        </w:rPr>
        <w:t>According to the Dossier Submitter, only two technically feasible alternatives exist for the HTF use in the temperature range of 250˚C</w:t>
      </w:r>
      <w:r w:rsidR="00AA015D" w:rsidRPr="007B7223">
        <w:rPr>
          <w:rStyle w:val="normaltextrun"/>
          <w:color w:val="000000"/>
        </w:rPr>
        <w:t xml:space="preserve"> to </w:t>
      </w:r>
      <w:r w:rsidRPr="007B7223">
        <w:rPr>
          <w:rStyle w:val="normaltextrun"/>
          <w:color w:val="000000"/>
        </w:rPr>
        <w:t>350˚C. Both alternatives, however, would lead to regrettable substitution as they have similar persistent and bio-accumulative properties as PHT and therefore pose the same environmental concern</w:t>
      </w:r>
      <w:r w:rsidR="00992D99" w:rsidRPr="007B7223">
        <w:rPr>
          <w:rStyle w:val="normaltextrun"/>
          <w:color w:val="000000"/>
        </w:rPr>
        <w:t>s</w:t>
      </w:r>
      <w:r w:rsidRPr="007B7223">
        <w:rPr>
          <w:rStyle w:val="normaltextrun"/>
          <w:color w:val="000000"/>
        </w:rPr>
        <w:t xml:space="preserve">. </w:t>
      </w:r>
      <w:r w:rsidRPr="007B7223">
        <w:rPr>
          <w:rStyle w:val="normaltextrun"/>
        </w:rPr>
        <w:t>Concerning the use of PHT in the aerospace and defence industry, the Dossier Submitter considered that there are currently no suitable alternatives available. S</w:t>
      </w:r>
      <w:r w:rsidRPr="007B7223">
        <w:rPr>
          <w:rStyle w:val="normaltextrun"/>
          <w:color w:val="000000"/>
        </w:rPr>
        <w:t>ome potential alternatives exist but their technical feasibility and potential for regrettable substitution remains to be verified and substitution would take time due to the strict sector requirements for certification and approvals. O</w:t>
      </w:r>
      <w:r w:rsidRPr="007B7223">
        <w:rPr>
          <w:rStyle w:val="normaltextrun"/>
        </w:rPr>
        <w:t xml:space="preserve">ne potential alternative was identified for the use of PHT as solvent or process medium, although there is some uncertainty regarding its technical and economic feasibility. </w:t>
      </w:r>
    </w:p>
    <w:p w14:paraId="5953D691" w14:textId="11B38D3B" w:rsidR="00A4768A" w:rsidRPr="007B7223" w:rsidRDefault="00A4768A" w:rsidP="00A4768A">
      <w:pPr>
        <w:pStyle w:val="Considrant"/>
        <w:rPr>
          <w:rStyle w:val="normaltextrun"/>
        </w:rPr>
      </w:pPr>
      <w:r w:rsidRPr="007B7223">
        <w:rPr>
          <w:rStyle w:val="normaltextrun"/>
        </w:rPr>
        <w:t xml:space="preserve">According to the </w:t>
      </w:r>
      <w:r w:rsidR="00F54205" w:rsidRPr="007B7223">
        <w:rPr>
          <w:rStyle w:val="normaltextrun"/>
        </w:rPr>
        <w:t xml:space="preserve">Annex XV </w:t>
      </w:r>
      <w:r w:rsidRPr="007B7223">
        <w:rPr>
          <w:rStyle w:val="normaltextrun"/>
        </w:rPr>
        <w:t>dossier, in the absence of a restriction, cumulative releases of PHT over the next 20 years would amount to approximately 19 600 tonnes. The proposed restriction would reduce emission</w:t>
      </w:r>
      <w:r w:rsidR="005F7F49" w:rsidRPr="007B7223">
        <w:rPr>
          <w:rStyle w:val="normaltextrun"/>
        </w:rPr>
        <w:t>s</w:t>
      </w:r>
      <w:r w:rsidRPr="007B7223">
        <w:rPr>
          <w:rStyle w:val="normaltextrun"/>
        </w:rPr>
        <w:t xml:space="preserve"> by 85%, at a total cost of approximately €1.5 billion.</w:t>
      </w:r>
    </w:p>
    <w:p w14:paraId="005B6BEB" w14:textId="134F1F62" w:rsidR="00A4768A" w:rsidRPr="007B7223" w:rsidRDefault="00A4768A" w:rsidP="00A4768A">
      <w:pPr>
        <w:pStyle w:val="Considrant"/>
        <w:rPr>
          <w:color w:val="000000"/>
          <w:shd w:val="clear" w:color="auto" w:fill="FFFFFF"/>
          <w:lang w:val="en-IE"/>
        </w:rPr>
      </w:pPr>
      <w:r w:rsidRPr="007B7223">
        <w:rPr>
          <w:rStyle w:val="normaltextrun"/>
          <w:color w:val="000000"/>
        </w:rPr>
        <w:t>On 16 March 2023, the Agency’s Committee for Risk Assessment (‘RAC’) adopted its opinion</w:t>
      </w:r>
      <w:r w:rsidRPr="007B7223">
        <w:rPr>
          <w:rStyle w:val="Funotenzeichen"/>
          <w:color w:val="000000"/>
        </w:rPr>
        <w:footnoteReference w:id="8"/>
      </w:r>
      <w:r w:rsidRPr="007B7223">
        <w:rPr>
          <w:rStyle w:val="normaltextrun"/>
          <w:color w:val="000000"/>
        </w:rPr>
        <w:t xml:space="preserve">. </w:t>
      </w:r>
      <w:r w:rsidR="001974BE" w:rsidRPr="007B7223">
        <w:rPr>
          <w:color w:val="000000"/>
          <w:shd w:val="clear" w:color="auto" w:fill="FFFFFF"/>
          <w:lang w:val="en-IE"/>
        </w:rPr>
        <w:t xml:space="preserve">RAC confirmed </w:t>
      </w:r>
      <w:r w:rsidR="00AD22C6" w:rsidRPr="007B7223">
        <w:rPr>
          <w:color w:val="000000"/>
          <w:shd w:val="clear" w:color="auto" w:fill="FFFFFF"/>
          <w:lang w:val="en-IE"/>
        </w:rPr>
        <w:t xml:space="preserve">that PHT is very persistent </w:t>
      </w:r>
      <w:r w:rsidR="00E36D33" w:rsidRPr="007B7223">
        <w:rPr>
          <w:color w:val="000000"/>
          <w:shd w:val="clear" w:color="auto" w:fill="FFFFFF"/>
          <w:lang w:val="en-IE"/>
        </w:rPr>
        <w:t xml:space="preserve">and very bioaccumulative. </w:t>
      </w:r>
      <w:r w:rsidR="001974BE" w:rsidRPr="007B7223">
        <w:rPr>
          <w:color w:val="000000"/>
          <w:shd w:val="clear" w:color="auto" w:fill="FFFFFF"/>
          <w:lang w:val="en-IE"/>
        </w:rPr>
        <w:t xml:space="preserve">Any </w:t>
      </w:r>
      <w:r w:rsidR="00E36D33" w:rsidRPr="007B7223">
        <w:rPr>
          <w:color w:val="000000"/>
          <w:shd w:val="clear" w:color="auto" w:fill="FFFFFF"/>
          <w:lang w:val="en-IE"/>
        </w:rPr>
        <w:t xml:space="preserve">PHT </w:t>
      </w:r>
      <w:r w:rsidR="001974BE" w:rsidRPr="007B7223">
        <w:rPr>
          <w:color w:val="000000"/>
          <w:shd w:val="clear" w:color="auto" w:fill="FFFFFF"/>
          <w:lang w:val="en-IE"/>
        </w:rPr>
        <w:t xml:space="preserve">emissions will stay in the environment </w:t>
      </w:r>
      <w:r w:rsidR="00E36D33" w:rsidRPr="007B7223">
        <w:rPr>
          <w:color w:val="000000"/>
          <w:shd w:val="clear" w:color="auto" w:fill="FFFFFF"/>
          <w:lang w:val="en-IE"/>
        </w:rPr>
        <w:t xml:space="preserve">and in living organisms, including human bodies, for a long time, </w:t>
      </w:r>
      <w:r w:rsidR="001974BE" w:rsidRPr="007B7223">
        <w:rPr>
          <w:color w:val="000000"/>
          <w:shd w:val="clear" w:color="auto" w:fill="FFFFFF"/>
          <w:lang w:val="en-IE"/>
        </w:rPr>
        <w:t>constantly</w:t>
      </w:r>
      <w:r w:rsidR="00E36D33" w:rsidRPr="007B7223">
        <w:rPr>
          <w:color w:val="000000"/>
          <w:shd w:val="clear" w:color="auto" w:fill="FFFFFF"/>
          <w:lang w:val="en-IE"/>
        </w:rPr>
        <w:t xml:space="preserve"> increasing, </w:t>
      </w:r>
      <w:r w:rsidR="001974BE" w:rsidRPr="007B7223">
        <w:rPr>
          <w:color w:val="000000"/>
          <w:shd w:val="clear" w:color="auto" w:fill="FFFFFF"/>
          <w:lang w:val="en-IE"/>
        </w:rPr>
        <w:t>leading to an irreversible and continu</w:t>
      </w:r>
      <w:r w:rsidR="00E36D33" w:rsidRPr="007B7223">
        <w:rPr>
          <w:color w:val="000000"/>
          <w:shd w:val="clear" w:color="auto" w:fill="FFFFFF"/>
          <w:lang w:val="en-IE"/>
        </w:rPr>
        <w:t>ed</w:t>
      </w:r>
      <w:r w:rsidR="001974BE" w:rsidRPr="007B7223">
        <w:rPr>
          <w:color w:val="000000"/>
          <w:shd w:val="clear" w:color="auto" w:fill="FFFFFF"/>
          <w:lang w:val="en-IE"/>
        </w:rPr>
        <w:t xml:space="preserve"> contamination. </w:t>
      </w:r>
      <w:r w:rsidR="00AD22C6" w:rsidRPr="007B7223">
        <w:rPr>
          <w:color w:val="000000"/>
          <w:shd w:val="clear" w:color="auto" w:fill="FFFFFF"/>
          <w:lang w:val="en-IE"/>
        </w:rPr>
        <w:t xml:space="preserve">RAC further concluded that the resulting exposures may lead to unpredictable long-term adverse effects on the environment and human health, the seriousness of which may increase with increasing exposures. </w:t>
      </w:r>
      <w:r w:rsidR="00130B18" w:rsidRPr="007B7223">
        <w:rPr>
          <w:rStyle w:val="normaltextrun"/>
          <w:color w:val="000000"/>
        </w:rPr>
        <w:t xml:space="preserve">RAC agreed that, given the intrinsic vPvB properties of PHT, </w:t>
      </w:r>
      <w:r w:rsidR="00AA4DDC" w:rsidRPr="007B7223">
        <w:rPr>
          <w:rStyle w:val="normaltextrun"/>
          <w:color w:val="000000"/>
        </w:rPr>
        <w:t xml:space="preserve">it is appropriate to perform </w:t>
      </w:r>
      <w:r w:rsidR="00130B18" w:rsidRPr="007B7223">
        <w:rPr>
          <w:rStyle w:val="normaltextrun"/>
          <w:color w:val="000000"/>
        </w:rPr>
        <w:t>a</w:t>
      </w:r>
      <w:r w:rsidR="00130B18" w:rsidRPr="007B7223">
        <w:rPr>
          <w:color w:val="000000"/>
          <w:lang w:val="en-IE"/>
        </w:rPr>
        <w:t xml:space="preserve"> risk characterisation where releases of PHT to the environment, a</w:t>
      </w:r>
      <w:r w:rsidR="00AA4DDC" w:rsidRPr="007B7223">
        <w:rPr>
          <w:color w:val="000000"/>
          <w:lang w:val="en-IE"/>
        </w:rPr>
        <w:t xml:space="preserve">nd human </w:t>
      </w:r>
      <w:r w:rsidR="00130B18" w:rsidRPr="007B7223">
        <w:rPr>
          <w:color w:val="000000"/>
          <w:lang w:val="en-IE"/>
        </w:rPr>
        <w:t>exposure</w:t>
      </w:r>
      <w:r w:rsidR="00AA4DDC" w:rsidRPr="007B7223">
        <w:rPr>
          <w:color w:val="000000"/>
          <w:lang w:val="en-IE"/>
        </w:rPr>
        <w:t xml:space="preserve"> to PHT</w:t>
      </w:r>
      <w:r w:rsidR="00B71CA7" w:rsidRPr="007B7223">
        <w:rPr>
          <w:color w:val="000000"/>
          <w:lang w:val="en-IE"/>
        </w:rPr>
        <w:t>,</w:t>
      </w:r>
      <w:r w:rsidR="00AA4DDC" w:rsidRPr="007B7223">
        <w:rPr>
          <w:color w:val="000000"/>
          <w:lang w:val="en-IE"/>
        </w:rPr>
        <w:t xml:space="preserve"> </w:t>
      </w:r>
      <w:r w:rsidR="00130B18" w:rsidRPr="007B7223">
        <w:rPr>
          <w:color w:val="000000"/>
          <w:lang w:val="en-IE"/>
        </w:rPr>
        <w:t>are regarded as a proxy for a risk to the environment and human health</w:t>
      </w:r>
      <w:r w:rsidR="00B71CA7" w:rsidRPr="007B7223">
        <w:rPr>
          <w:color w:val="000000"/>
          <w:lang w:val="en-IE"/>
        </w:rPr>
        <w:t>, respectively</w:t>
      </w:r>
      <w:r w:rsidR="00130B18" w:rsidRPr="007B7223">
        <w:rPr>
          <w:color w:val="000000"/>
          <w:lang w:val="en-IE"/>
        </w:rPr>
        <w:t xml:space="preserve">. </w:t>
      </w:r>
      <w:r w:rsidRPr="007B7223">
        <w:rPr>
          <w:color w:val="000000"/>
          <w:shd w:val="clear" w:color="auto" w:fill="FFFFFF"/>
          <w:lang w:val="en-IE"/>
        </w:rPr>
        <w:t xml:space="preserve">RAC qualitatively evaluated the potential for release from different uses and concluded that releases </w:t>
      </w:r>
      <w:r w:rsidR="00C23204" w:rsidRPr="007B7223">
        <w:rPr>
          <w:color w:val="000000"/>
          <w:shd w:val="clear" w:color="auto" w:fill="FFFFFF"/>
          <w:lang w:val="en-IE"/>
        </w:rPr>
        <w:t xml:space="preserve">and therefore risks </w:t>
      </w:r>
      <w:r w:rsidRPr="007B7223">
        <w:rPr>
          <w:color w:val="000000"/>
          <w:shd w:val="clear" w:color="auto" w:fill="FFFFFF"/>
          <w:lang w:val="en-IE"/>
        </w:rPr>
        <w:t>to the environment</w:t>
      </w:r>
      <w:r w:rsidR="007638F6" w:rsidRPr="007B7223">
        <w:rPr>
          <w:color w:val="000000"/>
          <w:shd w:val="clear" w:color="auto" w:fill="FFFFFF"/>
          <w:lang w:val="en-IE"/>
        </w:rPr>
        <w:t xml:space="preserve"> </w:t>
      </w:r>
      <w:r w:rsidR="001C165F" w:rsidRPr="007B7223">
        <w:rPr>
          <w:color w:val="000000"/>
          <w:shd w:val="clear" w:color="auto" w:fill="FFFFFF"/>
          <w:lang w:val="en-IE"/>
        </w:rPr>
        <w:t xml:space="preserve">and human health </w:t>
      </w:r>
      <w:r w:rsidRPr="007B7223">
        <w:rPr>
          <w:color w:val="000000"/>
          <w:shd w:val="clear" w:color="auto" w:fill="FFFFFF"/>
          <w:lang w:val="en-IE"/>
        </w:rPr>
        <w:t xml:space="preserve">are likely from all uses within the scope of the proposed restriction. </w:t>
      </w:r>
      <w:r w:rsidR="001C165F" w:rsidRPr="007B7223">
        <w:rPr>
          <w:color w:val="000000"/>
          <w:shd w:val="clear" w:color="auto" w:fill="FFFFFF"/>
          <w:lang w:val="en-IE"/>
        </w:rPr>
        <w:t>Consequently, PHT releases should be minimised in all sectors of use to reduce adverse effects</w:t>
      </w:r>
      <w:r w:rsidR="00AD22C6" w:rsidRPr="007B7223">
        <w:rPr>
          <w:color w:val="000000"/>
          <w:shd w:val="clear" w:color="auto" w:fill="FFFFFF"/>
          <w:lang w:val="en-IE"/>
        </w:rPr>
        <w:t xml:space="preserve"> and </w:t>
      </w:r>
      <w:r w:rsidR="001974BE" w:rsidRPr="007B7223">
        <w:rPr>
          <w:color w:val="000000"/>
          <w:shd w:val="clear" w:color="auto" w:fill="FFFFFF"/>
          <w:lang w:val="en-IE"/>
        </w:rPr>
        <w:t>prevent</w:t>
      </w:r>
      <w:r w:rsidR="00AD22C6" w:rsidRPr="007B7223">
        <w:rPr>
          <w:color w:val="000000"/>
          <w:shd w:val="clear" w:color="auto" w:fill="FFFFFF"/>
          <w:lang w:val="en-IE"/>
        </w:rPr>
        <w:t xml:space="preserve"> further </w:t>
      </w:r>
      <w:r w:rsidR="00E36D33" w:rsidRPr="007B7223">
        <w:rPr>
          <w:color w:val="000000"/>
          <w:shd w:val="clear" w:color="auto" w:fill="FFFFFF"/>
          <w:lang w:val="en-IE"/>
        </w:rPr>
        <w:t>PHT accumulation</w:t>
      </w:r>
      <w:r w:rsidR="001974BE" w:rsidRPr="007B7223">
        <w:rPr>
          <w:color w:val="000000"/>
          <w:shd w:val="clear" w:color="auto" w:fill="FFFFFF"/>
          <w:lang w:val="en-IE"/>
        </w:rPr>
        <w:t xml:space="preserve"> </w:t>
      </w:r>
      <w:r w:rsidR="00E36D33" w:rsidRPr="007B7223">
        <w:rPr>
          <w:color w:val="000000"/>
          <w:shd w:val="clear" w:color="auto" w:fill="FFFFFF"/>
          <w:lang w:val="en-IE"/>
        </w:rPr>
        <w:t>in the environment and in living organisms, including human bodies.</w:t>
      </w:r>
      <w:r w:rsidR="001974BE" w:rsidRPr="007B7223">
        <w:rPr>
          <w:color w:val="000000"/>
          <w:shd w:val="clear" w:color="auto" w:fill="FFFFFF"/>
          <w:lang w:val="en-IE"/>
        </w:rPr>
        <w:t xml:space="preserve"> </w:t>
      </w:r>
      <w:r w:rsidRPr="007B7223">
        <w:rPr>
          <w:color w:val="000000"/>
          <w:shd w:val="clear" w:color="auto" w:fill="FFFFFF"/>
          <w:lang w:val="en-IE"/>
        </w:rPr>
        <w:t xml:space="preserve">RAC further concluded that current regulatory obligations do not directly lead to a reduction of PHT emissions and a </w:t>
      </w:r>
      <w:r w:rsidR="005B015C" w:rsidRPr="007B7223">
        <w:rPr>
          <w:color w:val="000000"/>
          <w:shd w:val="clear" w:color="auto" w:fill="FFFFFF"/>
          <w:lang w:val="en-IE"/>
        </w:rPr>
        <w:t xml:space="preserve">Union </w:t>
      </w:r>
      <w:r w:rsidRPr="007B7223">
        <w:rPr>
          <w:color w:val="000000"/>
          <w:shd w:val="clear" w:color="auto" w:fill="FFFFFF"/>
          <w:lang w:val="en-IE"/>
        </w:rPr>
        <w:t xml:space="preserve">wide restriction with targeted derogations and </w:t>
      </w:r>
      <w:r w:rsidR="00F54205" w:rsidRPr="007B7223">
        <w:rPr>
          <w:color w:val="000000"/>
          <w:shd w:val="clear" w:color="auto" w:fill="FFFFFF"/>
          <w:lang w:val="en-IE"/>
        </w:rPr>
        <w:t xml:space="preserve">deferral </w:t>
      </w:r>
      <w:r w:rsidRPr="007B7223">
        <w:rPr>
          <w:color w:val="000000"/>
          <w:shd w:val="clear" w:color="auto" w:fill="FFFFFF"/>
          <w:lang w:val="en-IE"/>
        </w:rPr>
        <w:t>periods is the most appropriate measure to reduce the risks from the substance.</w:t>
      </w:r>
      <w:r w:rsidRPr="007B7223">
        <w:rPr>
          <w:rFonts w:ascii="Verdana" w:hAnsi="Verdana" w:cs="Verdana"/>
          <w:color w:val="000000"/>
          <w:sz w:val="20"/>
          <w:szCs w:val="20"/>
          <w:lang w:val="en-IE"/>
        </w:rPr>
        <w:t xml:space="preserve"> </w:t>
      </w:r>
      <w:r w:rsidRPr="007B7223">
        <w:rPr>
          <w:shd w:val="clear" w:color="auto" w:fill="FFFFFF"/>
          <w:lang w:val="en-IE"/>
        </w:rPr>
        <w:t>RAC supported the restriction on PHT proposed in the dossier, with modifications.</w:t>
      </w:r>
      <w:r w:rsidRPr="007B7223">
        <w:rPr>
          <w:color w:val="000000"/>
          <w:shd w:val="clear" w:color="auto" w:fill="FFFFFF"/>
          <w:lang w:val="en-IE"/>
        </w:rPr>
        <w:t xml:space="preserve"> </w:t>
      </w:r>
    </w:p>
    <w:p w14:paraId="4E47D7C8" w14:textId="48E7E4D8" w:rsidR="00A4768A" w:rsidRPr="007B7223" w:rsidRDefault="00A4768A" w:rsidP="00A4768A">
      <w:pPr>
        <w:pStyle w:val="Considrant"/>
        <w:rPr>
          <w:rStyle w:val="eop"/>
          <w:color w:val="000000"/>
          <w:shd w:val="clear" w:color="auto" w:fill="FFFFFF"/>
          <w:lang w:val="en-IE"/>
        </w:rPr>
      </w:pPr>
      <w:r w:rsidRPr="007B7223">
        <w:rPr>
          <w:color w:val="000000"/>
          <w:shd w:val="clear" w:color="auto" w:fill="FFFFFF"/>
          <w:lang w:val="en-IE"/>
        </w:rPr>
        <w:t xml:space="preserve">RAC supported a time-limited derogation for the use of PHT as HTF at industrial sites, provided that PHT is used in strictly controlled closed systems with technical containment and organisational measures to prevent environmental emissions, and a monitoring program to assess PHT environmental releases is in place at those sites. RAC did not support </w:t>
      </w:r>
      <w:bookmarkStart w:id="6" w:name="_Hlk205819483"/>
      <w:r w:rsidRPr="007B7223">
        <w:rPr>
          <w:color w:val="000000"/>
          <w:shd w:val="clear" w:color="auto" w:fill="FFFFFF"/>
          <w:lang w:val="en-IE"/>
        </w:rPr>
        <w:t xml:space="preserve">the proposed </w:t>
      </w:r>
      <w:r w:rsidR="00EE0D42" w:rsidRPr="007B7223">
        <w:rPr>
          <w:color w:val="000000"/>
          <w:shd w:val="clear" w:color="auto" w:fill="FFFFFF"/>
          <w:lang w:val="en-IE"/>
        </w:rPr>
        <w:t>five</w:t>
      </w:r>
      <w:r w:rsidRPr="007B7223">
        <w:rPr>
          <w:color w:val="000000"/>
          <w:shd w:val="clear" w:color="auto" w:fill="FFFFFF"/>
          <w:lang w:val="en-IE"/>
        </w:rPr>
        <w:t xml:space="preserve">-year </w:t>
      </w:r>
      <w:r w:rsidR="0052498C" w:rsidRPr="007B7223">
        <w:rPr>
          <w:color w:val="000000"/>
          <w:shd w:val="clear" w:color="auto" w:fill="FFFFFF"/>
          <w:lang w:val="en-IE"/>
        </w:rPr>
        <w:t xml:space="preserve">deferral </w:t>
      </w:r>
      <w:r w:rsidRPr="007B7223">
        <w:rPr>
          <w:color w:val="000000"/>
          <w:shd w:val="clear" w:color="auto" w:fill="FFFFFF"/>
          <w:lang w:val="en-IE"/>
        </w:rPr>
        <w:t xml:space="preserve">period for the use of PHT in aerospace and defence applications </w:t>
      </w:r>
      <w:bookmarkEnd w:id="6"/>
      <w:r w:rsidRPr="007B7223">
        <w:rPr>
          <w:color w:val="000000"/>
          <w:shd w:val="clear" w:color="auto" w:fill="FFFFFF"/>
          <w:lang w:val="en-IE"/>
        </w:rPr>
        <w:t>because there is not enough information confirming minimisation of PHT emissions from those applications.</w:t>
      </w:r>
      <w:r w:rsidRPr="007B7223">
        <w:rPr>
          <w:rFonts w:ascii="Verdana" w:hAnsi="Verdana" w:cs="Verdana"/>
          <w:color w:val="000000"/>
          <w:sz w:val="20"/>
          <w:szCs w:val="20"/>
          <w:lang w:val="en-IE"/>
        </w:rPr>
        <w:t xml:space="preserve"> </w:t>
      </w:r>
      <w:bookmarkStart w:id="7" w:name="_Hlk205818173"/>
      <w:r w:rsidRPr="007B7223">
        <w:rPr>
          <w:color w:val="000000"/>
          <w:shd w:val="clear" w:color="auto" w:fill="FFFFFF"/>
          <w:lang w:val="en-IE"/>
        </w:rPr>
        <w:t>RAC did not support the proposed derogation for the use of PHT as HTF in thermostats in applications for consumer use. RAC noted that (</w:t>
      </w:r>
      <w:r w:rsidR="00F54205" w:rsidRPr="007B7223">
        <w:rPr>
          <w:color w:val="000000"/>
          <w:shd w:val="clear" w:color="auto" w:fill="FFFFFF"/>
          <w:lang w:val="en-IE"/>
        </w:rPr>
        <w:t>1</w:t>
      </w:r>
      <w:r w:rsidRPr="007B7223">
        <w:rPr>
          <w:color w:val="000000"/>
          <w:shd w:val="clear" w:color="auto" w:fill="FFFFFF"/>
          <w:lang w:val="en-IE"/>
        </w:rPr>
        <w:t>) consumer uses are advised against in the PHT registration dossier, (</w:t>
      </w:r>
      <w:r w:rsidR="00F54205" w:rsidRPr="007B7223">
        <w:rPr>
          <w:color w:val="000000"/>
          <w:shd w:val="clear" w:color="auto" w:fill="FFFFFF"/>
          <w:lang w:val="en-IE"/>
        </w:rPr>
        <w:t>2</w:t>
      </w:r>
      <w:r w:rsidRPr="007B7223">
        <w:rPr>
          <w:color w:val="000000"/>
          <w:shd w:val="clear" w:color="auto" w:fill="FFFFFF"/>
          <w:lang w:val="en-IE"/>
        </w:rPr>
        <w:t>) environmental releases of PHT can be expected from its use in thermostats, especially at the waste stage, and (</w:t>
      </w:r>
      <w:r w:rsidR="00F54205" w:rsidRPr="007B7223">
        <w:rPr>
          <w:color w:val="000000"/>
          <w:shd w:val="clear" w:color="auto" w:fill="FFFFFF"/>
          <w:lang w:val="en-IE"/>
        </w:rPr>
        <w:t>3</w:t>
      </w:r>
      <w:r w:rsidRPr="007B7223">
        <w:rPr>
          <w:color w:val="000000"/>
          <w:shd w:val="clear" w:color="auto" w:fill="FFFFFF"/>
          <w:lang w:val="en-IE"/>
        </w:rPr>
        <w:t>) there is no sufficient information concerning measures in place to minimise PHT emissions from these applications to support a derogation</w:t>
      </w:r>
      <w:bookmarkEnd w:id="7"/>
      <w:r w:rsidRPr="007B7223">
        <w:rPr>
          <w:color w:val="000000"/>
          <w:shd w:val="clear" w:color="auto" w:fill="FFFFFF"/>
          <w:lang w:val="en-IE"/>
        </w:rPr>
        <w:t>.</w:t>
      </w:r>
    </w:p>
    <w:p w14:paraId="352E0374" w14:textId="731D0E52" w:rsidR="00A4768A" w:rsidRPr="007B7223" w:rsidRDefault="00A4768A" w:rsidP="00A4768A">
      <w:pPr>
        <w:pStyle w:val="Considrant"/>
        <w:rPr>
          <w:color w:val="000000"/>
          <w:shd w:val="clear" w:color="auto" w:fill="FFFFFF"/>
          <w:lang w:val="en-IE"/>
        </w:rPr>
      </w:pPr>
      <w:bookmarkStart w:id="8" w:name="_Hlk205818562"/>
      <w:r w:rsidRPr="007B7223">
        <w:rPr>
          <w:color w:val="000000"/>
          <w:shd w:val="clear" w:color="auto" w:fill="FFFFFF"/>
          <w:lang w:val="en-IE"/>
        </w:rPr>
        <w:t>RAC proposed to add a derogation for articles</w:t>
      </w:r>
      <w:r w:rsidR="00B65819" w:rsidRPr="007B7223">
        <w:rPr>
          <w:color w:val="000000"/>
          <w:shd w:val="clear" w:color="auto" w:fill="FFFFFF"/>
          <w:lang w:val="en-IE"/>
        </w:rPr>
        <w:t xml:space="preserve"> and mixtures</w:t>
      </w:r>
      <w:r w:rsidRPr="007B7223">
        <w:rPr>
          <w:color w:val="000000"/>
          <w:shd w:val="clear" w:color="auto" w:fill="FFFFFF"/>
          <w:lang w:val="en-IE"/>
        </w:rPr>
        <w:t xml:space="preserve"> which were in use in the Union before the date of entry into force of the restriction</w:t>
      </w:r>
      <w:bookmarkEnd w:id="8"/>
      <w:r w:rsidR="001C165F" w:rsidRPr="007B7223">
        <w:rPr>
          <w:color w:val="000000"/>
          <w:shd w:val="clear" w:color="auto" w:fill="FFFFFF"/>
          <w:lang w:val="en-IE"/>
        </w:rPr>
        <w:t>, including legacy and second-hand products</w:t>
      </w:r>
      <w:r w:rsidRPr="007B7223">
        <w:rPr>
          <w:color w:val="000000"/>
          <w:shd w:val="clear" w:color="auto" w:fill="FFFFFF"/>
          <w:lang w:val="en-IE"/>
        </w:rPr>
        <w:t>.</w:t>
      </w:r>
    </w:p>
    <w:p w14:paraId="41473B4D" w14:textId="77777777" w:rsidR="00A4768A" w:rsidRPr="007B7223" w:rsidRDefault="00A4768A" w:rsidP="00A4768A">
      <w:pPr>
        <w:pStyle w:val="Considrant"/>
        <w:tabs>
          <w:tab w:val="clear" w:pos="709"/>
        </w:tabs>
        <w:rPr>
          <w:rStyle w:val="normaltextrun"/>
        </w:rPr>
      </w:pPr>
      <w:r w:rsidRPr="007B7223">
        <w:rPr>
          <w:rStyle w:val="normaltextrun"/>
          <w:color w:val="000000"/>
        </w:rPr>
        <w:t xml:space="preserve">On 9 June 2023, the Agency’s Committee for Socio-Economic Analysis (‘SEAC’) adopted its </w:t>
      </w:r>
      <w:bookmarkStart w:id="9" w:name="_Hlk219125856"/>
      <w:r w:rsidRPr="007B7223">
        <w:rPr>
          <w:rStyle w:val="normaltextrun"/>
          <w:color w:val="000000"/>
        </w:rPr>
        <w:t>opinion</w:t>
      </w:r>
      <w:r w:rsidRPr="007B7223">
        <w:rPr>
          <w:rStyle w:val="Funotenzeichen"/>
          <w:color w:val="000000"/>
        </w:rPr>
        <w:footnoteReference w:id="9"/>
      </w:r>
      <w:r w:rsidRPr="007B7223">
        <w:rPr>
          <w:rStyle w:val="normaltextrun"/>
          <w:color w:val="000000"/>
        </w:rPr>
        <w:t xml:space="preserve"> </w:t>
      </w:r>
      <w:bookmarkEnd w:id="9"/>
      <w:r w:rsidRPr="007B7223">
        <w:rPr>
          <w:rStyle w:val="normaltextrun"/>
          <w:color w:val="000000"/>
        </w:rPr>
        <w:t>concluding that</w:t>
      </w:r>
      <w:r w:rsidRPr="007B7223">
        <w:rPr>
          <w:rStyle w:val="normaltextrun"/>
        </w:rPr>
        <w:t xml:space="preserve"> the proposed restriction, with modifications, is the most appropriate measure </w:t>
      </w:r>
      <w:r w:rsidRPr="007B7223">
        <w:rPr>
          <w:lang w:val="en-IE"/>
        </w:rPr>
        <w:t>to address the identified risks from PHT, also considering its socio-economic benefits and costs</w:t>
      </w:r>
      <w:r w:rsidRPr="007B7223">
        <w:rPr>
          <w:rStyle w:val="normaltextrun"/>
        </w:rPr>
        <w:t xml:space="preserve">. </w:t>
      </w:r>
    </w:p>
    <w:p w14:paraId="64BAE1B8" w14:textId="2D3B09F4" w:rsidR="00A4768A" w:rsidRPr="007B7223" w:rsidRDefault="00A4768A" w:rsidP="00A4768A">
      <w:pPr>
        <w:pStyle w:val="Considrant"/>
        <w:tabs>
          <w:tab w:val="clear" w:pos="709"/>
        </w:tabs>
        <w:rPr>
          <w:rStyle w:val="normaltextrun"/>
        </w:rPr>
      </w:pPr>
      <w:r w:rsidRPr="007B7223">
        <w:t xml:space="preserve">SEAC agreed with the dossier submitter and RAC that an 18-month deferral of the application of the restriction would provide sufficient time </w:t>
      </w:r>
      <w:r w:rsidR="004402CB" w:rsidRPr="007B7223">
        <w:t xml:space="preserve">for </w:t>
      </w:r>
      <w:r w:rsidRPr="007B7223">
        <w:t>stakeholders to fully implement the restriction requirements. In contrast, a</w:t>
      </w:r>
      <w:r w:rsidRPr="007B7223">
        <w:rPr>
          <w:rStyle w:val="normaltextrun"/>
        </w:rPr>
        <w:t xml:space="preserve">fter assessing the information from the stakeholder consultation on the SEAC draft opinion, SEAC considered that the proposed </w:t>
      </w:r>
      <w:r w:rsidR="009A2C6C" w:rsidRPr="007B7223">
        <w:rPr>
          <w:rStyle w:val="normaltextrun"/>
        </w:rPr>
        <w:t>five</w:t>
      </w:r>
      <w:r w:rsidRPr="007B7223">
        <w:rPr>
          <w:rStyle w:val="normaltextrun"/>
        </w:rPr>
        <w:t xml:space="preserve">-year </w:t>
      </w:r>
      <w:r w:rsidR="0052498C" w:rsidRPr="007B7223">
        <w:rPr>
          <w:rStyle w:val="normaltextrun"/>
        </w:rPr>
        <w:t xml:space="preserve">deferral </w:t>
      </w:r>
      <w:r w:rsidRPr="007B7223">
        <w:rPr>
          <w:rStyle w:val="normaltextrun"/>
        </w:rPr>
        <w:t xml:space="preserve">period for the use of PHT in aerospace and defence applications was not adequate. </w:t>
      </w:r>
      <w:bookmarkStart w:id="10" w:name="_Hlk205819139"/>
      <w:r w:rsidRPr="007B7223">
        <w:rPr>
          <w:lang w:val="en-IE"/>
        </w:rPr>
        <w:t xml:space="preserve">SEAC noted the long phase-out periods recommended in the past for </w:t>
      </w:r>
      <w:bookmarkStart w:id="11" w:name="_Hlk219126554"/>
      <w:r w:rsidRPr="007B7223">
        <w:rPr>
          <w:lang w:val="en-IE"/>
        </w:rPr>
        <w:t xml:space="preserve">applications for authorisation based on the strict safety requirements set in the aviation sector and </w:t>
      </w:r>
      <w:bookmarkStart w:id="12" w:name="_Hlk205821632"/>
      <w:r w:rsidRPr="007B7223">
        <w:rPr>
          <w:lang w:val="en-IE"/>
        </w:rPr>
        <w:t xml:space="preserve">the </w:t>
      </w:r>
      <w:r w:rsidRPr="007B7223">
        <w:rPr>
          <w:rStyle w:val="normaltextrun"/>
        </w:rPr>
        <w:t>lengthy certification and approval process</w:t>
      </w:r>
      <w:r w:rsidRPr="007B7223">
        <w:rPr>
          <w:lang w:val="en-IE"/>
        </w:rPr>
        <w:t xml:space="preserve"> needed to meet </w:t>
      </w:r>
      <w:r w:rsidR="006C18E3" w:rsidRPr="007B7223">
        <w:rPr>
          <w:lang w:val="en-IE"/>
        </w:rPr>
        <w:t xml:space="preserve">those </w:t>
      </w:r>
      <w:r w:rsidRPr="007B7223">
        <w:rPr>
          <w:lang w:val="en-IE"/>
        </w:rPr>
        <w:t>requirements</w:t>
      </w:r>
      <w:bookmarkEnd w:id="11"/>
      <w:bookmarkEnd w:id="12"/>
      <w:r w:rsidRPr="007B7223">
        <w:rPr>
          <w:lang w:val="en-IE"/>
        </w:rPr>
        <w:t xml:space="preserve">. Furthermore, SEAC considered that there is insufficient data concerning the identification and availability of safer alternatives, as well as on the development of substitution activities. </w:t>
      </w:r>
      <w:r w:rsidRPr="007B7223">
        <w:rPr>
          <w:rStyle w:val="normaltextrun"/>
        </w:rPr>
        <w:t xml:space="preserve">Based on the available evidence, </w:t>
      </w:r>
      <w:r w:rsidRPr="007B7223">
        <w:rPr>
          <w:lang w:val="en-IE"/>
        </w:rPr>
        <w:t xml:space="preserve">SEAC determined that there is currently no suitable alternative for the uses </w:t>
      </w:r>
      <w:r w:rsidRPr="007B7223">
        <w:rPr>
          <w:rStyle w:val="normaltextrun"/>
        </w:rPr>
        <w:t xml:space="preserve">of PHT in aerospace and defence and </w:t>
      </w:r>
      <w:r w:rsidR="006C18E3" w:rsidRPr="007B7223">
        <w:rPr>
          <w:rStyle w:val="normaltextrun"/>
        </w:rPr>
        <w:t>that</w:t>
      </w:r>
      <w:r w:rsidRPr="007B7223">
        <w:rPr>
          <w:rStyle w:val="normaltextrun"/>
        </w:rPr>
        <w:t xml:space="preserve"> it would take more than </w:t>
      </w:r>
      <w:r w:rsidR="006C18E3" w:rsidRPr="007B7223">
        <w:rPr>
          <w:rStyle w:val="normaltextrun"/>
        </w:rPr>
        <w:t>five </w:t>
      </w:r>
      <w:r w:rsidRPr="007B7223">
        <w:rPr>
          <w:rStyle w:val="normaltextrun"/>
        </w:rPr>
        <w:t xml:space="preserve">years to fully substitute PHT. SEAC therefore concluded </w:t>
      </w:r>
      <w:r w:rsidRPr="007B7223">
        <w:rPr>
          <w:lang w:val="en-IE"/>
        </w:rPr>
        <w:t>a 10</w:t>
      </w:r>
      <w:r w:rsidRPr="007B7223">
        <w:rPr>
          <w:lang w:val="en-IE"/>
        </w:rPr>
        <w:noBreakHyphen/>
        <w:t xml:space="preserve">year </w:t>
      </w:r>
      <w:r w:rsidR="0052498C" w:rsidRPr="007B7223">
        <w:rPr>
          <w:lang w:val="en-IE"/>
        </w:rPr>
        <w:t xml:space="preserve">deferral </w:t>
      </w:r>
      <w:r w:rsidRPr="007B7223">
        <w:rPr>
          <w:lang w:val="en-IE"/>
        </w:rPr>
        <w:t>period would be more appropriate</w:t>
      </w:r>
      <w:bookmarkEnd w:id="10"/>
      <w:r w:rsidRPr="007B7223">
        <w:rPr>
          <w:lang w:val="en-IE"/>
        </w:rPr>
        <w:t xml:space="preserve"> to </w:t>
      </w:r>
      <w:bookmarkStart w:id="13" w:name="_Hlk205821670"/>
      <w:r w:rsidRPr="007B7223">
        <w:rPr>
          <w:lang w:val="en-IE"/>
        </w:rPr>
        <w:t xml:space="preserve">avoid that </w:t>
      </w:r>
      <w:r w:rsidRPr="007B7223">
        <w:rPr>
          <w:rStyle w:val="normaltextrun"/>
        </w:rPr>
        <w:t>activities in this sector would cease</w:t>
      </w:r>
      <w:bookmarkEnd w:id="13"/>
      <w:r w:rsidRPr="007B7223">
        <w:rPr>
          <w:lang w:val="en-IE"/>
        </w:rPr>
        <w:t xml:space="preserve">. </w:t>
      </w:r>
    </w:p>
    <w:p w14:paraId="70724D7F" w14:textId="2A82C5BD" w:rsidR="00A4768A" w:rsidRPr="007B7223" w:rsidRDefault="00A4768A" w:rsidP="00A4768A">
      <w:pPr>
        <w:pStyle w:val="Considrant"/>
        <w:tabs>
          <w:tab w:val="clear" w:pos="709"/>
        </w:tabs>
        <w:rPr>
          <w:rStyle w:val="normaltextrun"/>
        </w:rPr>
      </w:pPr>
      <w:r w:rsidRPr="007B7223">
        <w:rPr>
          <w:lang w:val="en-IE"/>
        </w:rPr>
        <w:t xml:space="preserve">SEAC took note of RAC’s recommendation to set a time limit to the derogation for the use of PHT as an HTF at industrial sites, to provide an incentive to substitute. However, on the basis of the evidence from the consultation on the SEAC draft opinion, SEAC concluded that the derogation should be granted to industrial sites with no time-limit. SEAC found that the use of alternatives to PHT has a high potential to lead to higher emissions of substances of very high concern, as those alternatives do not currently have to be used in strictly controlled closed systems. In addition, the use of those alternatives would result in higher investments and operational costs than </w:t>
      </w:r>
      <w:r w:rsidR="000D6677" w:rsidRPr="007B7223">
        <w:rPr>
          <w:lang w:val="en-IE"/>
        </w:rPr>
        <w:t xml:space="preserve">continued </w:t>
      </w:r>
      <w:r w:rsidR="0033510D" w:rsidRPr="007B7223">
        <w:rPr>
          <w:lang w:val="en-IE"/>
        </w:rPr>
        <w:t xml:space="preserve">use of </w:t>
      </w:r>
      <w:r w:rsidRPr="007B7223">
        <w:rPr>
          <w:lang w:val="en-IE"/>
        </w:rPr>
        <w:t xml:space="preserve">PHT while complying with risk management measures. SEAC also concluded that it is likely that new investments would be relocated outside the </w:t>
      </w:r>
      <w:r w:rsidR="000D6677" w:rsidRPr="007B7223">
        <w:rPr>
          <w:lang w:val="en-IE"/>
        </w:rPr>
        <w:t>Union</w:t>
      </w:r>
      <w:r w:rsidRPr="007B7223">
        <w:rPr>
          <w:lang w:val="en-IE"/>
        </w:rPr>
        <w:t xml:space="preserve">. </w:t>
      </w:r>
      <w:bookmarkStart w:id="14" w:name="_Hlk205819914"/>
      <w:r w:rsidRPr="007B7223">
        <w:rPr>
          <w:lang w:val="en-IE"/>
        </w:rPr>
        <w:t xml:space="preserve">Furthermore, </w:t>
      </w:r>
      <w:r w:rsidRPr="007B7223">
        <w:rPr>
          <w:rStyle w:val="normaltextrun"/>
        </w:rPr>
        <w:t>SEAC considered that the derogation could be limited to</w:t>
      </w:r>
      <w:r w:rsidR="0071087E" w:rsidRPr="007B7223">
        <w:rPr>
          <w:lang w:val="en-IE"/>
        </w:rPr>
        <w:t xml:space="preserve"> use of PHT as an HTF in</w:t>
      </w:r>
      <w:r w:rsidRPr="007B7223">
        <w:rPr>
          <w:rStyle w:val="normaltextrun"/>
        </w:rPr>
        <w:t xml:space="preserve"> the temperature range </w:t>
      </w:r>
      <w:r w:rsidR="0071087E" w:rsidRPr="007B7223">
        <w:rPr>
          <w:rStyle w:val="normaltextrun"/>
        </w:rPr>
        <w:t xml:space="preserve">of </w:t>
      </w:r>
      <w:r w:rsidRPr="007B7223">
        <w:rPr>
          <w:rStyle w:val="normaltextrun"/>
        </w:rPr>
        <w:t xml:space="preserve">250˚ to 350˚, to ensure that the use of the substance is constrained to the intended use </w:t>
      </w:r>
      <w:bookmarkEnd w:id="14"/>
      <w:r w:rsidRPr="007B7223">
        <w:rPr>
          <w:rFonts w:eastAsia="Times New Roman"/>
          <w:bCs/>
          <w:lang w:eastAsia="en-GB"/>
        </w:rPr>
        <w:t>(high temperature HTF) for which no non-regrettable substitutes are available.</w:t>
      </w:r>
    </w:p>
    <w:p w14:paraId="6C13F26D" w14:textId="531A3A06" w:rsidR="00A4768A" w:rsidRPr="007B7223" w:rsidRDefault="00A4768A" w:rsidP="00A4768A">
      <w:pPr>
        <w:pStyle w:val="Considrant"/>
        <w:tabs>
          <w:tab w:val="clear" w:pos="709"/>
        </w:tabs>
      </w:pPr>
      <w:r w:rsidRPr="007B7223">
        <w:rPr>
          <w:rStyle w:val="normaltextrun"/>
        </w:rPr>
        <w:t xml:space="preserve">SEAC agreed with RAC that a derogation for PHT in thermostats in applications for use by consumers could not be supported. </w:t>
      </w:r>
      <w:r w:rsidRPr="007B7223">
        <w:rPr>
          <w:lang w:val="en-IE"/>
        </w:rPr>
        <w:t xml:space="preserve">SEAC considered that the </w:t>
      </w:r>
      <w:r w:rsidR="00F54205" w:rsidRPr="007B7223">
        <w:rPr>
          <w:lang w:val="en-IE"/>
        </w:rPr>
        <w:t xml:space="preserve">Annex XV </w:t>
      </w:r>
      <w:r w:rsidRPr="007B7223">
        <w:rPr>
          <w:lang w:val="en-IE"/>
        </w:rPr>
        <w:t>dossier did not include sufficient socio-economic information to justify this derogation. SEAC sought to gather more information on this point in the consultation on its draft opinion, but no comments were submitted. In the absence of relevant socio-economic data, SEAC could not support this derogation.</w:t>
      </w:r>
    </w:p>
    <w:p w14:paraId="54483203" w14:textId="0ABE4DF5" w:rsidR="00A4768A" w:rsidRPr="007B7223" w:rsidRDefault="00A4768A" w:rsidP="00A4768A">
      <w:pPr>
        <w:pStyle w:val="Considrant"/>
        <w:tabs>
          <w:tab w:val="clear" w:pos="709"/>
        </w:tabs>
        <w:rPr>
          <w:rStyle w:val="normaltextrun"/>
        </w:rPr>
      </w:pPr>
      <w:r w:rsidRPr="007B7223">
        <w:rPr>
          <w:rStyle w:val="normaltextrun"/>
        </w:rPr>
        <w:t xml:space="preserve">SEAC recommended that the restriction </w:t>
      </w:r>
      <w:r w:rsidR="00643EE0" w:rsidRPr="007B7223">
        <w:rPr>
          <w:rStyle w:val="normaltextrun"/>
        </w:rPr>
        <w:t>be</w:t>
      </w:r>
      <w:r w:rsidRPr="007B7223">
        <w:rPr>
          <w:rStyle w:val="normaltextrun"/>
        </w:rPr>
        <w:t xml:space="preserve"> reviewed 10 years after its entry into force to assess whether alternatives that would not pose a risk of regrettable substitution would be available for the use as a HTF at industrial sites. Should the review find that safer alternatives have become available, then regulatory measures only targeting new installations may be considered.</w:t>
      </w:r>
    </w:p>
    <w:p w14:paraId="70B38503" w14:textId="5BDA1404" w:rsidR="00A4768A" w:rsidRPr="007B7223" w:rsidRDefault="00A4768A" w:rsidP="00A4768A">
      <w:pPr>
        <w:pStyle w:val="Considrant"/>
        <w:tabs>
          <w:tab w:val="clear" w:pos="709"/>
        </w:tabs>
        <w:rPr>
          <w:rStyle w:val="eop"/>
        </w:rPr>
      </w:pPr>
      <w:r w:rsidRPr="007B7223">
        <w:rPr>
          <w:rStyle w:val="normaltextrun"/>
          <w:color w:val="000000"/>
          <w:shd w:val="clear" w:color="auto" w:fill="FFFFFF"/>
        </w:rPr>
        <w:t>The Agency’s Forum for Exchange of Information on Enforcement was consulted and its recommendations have been taken into account.</w:t>
      </w:r>
    </w:p>
    <w:p w14:paraId="3202C1D2" w14:textId="77777777" w:rsidR="00A4768A" w:rsidRPr="007B7223" w:rsidRDefault="00A4768A" w:rsidP="00A4768A">
      <w:pPr>
        <w:pStyle w:val="Considrant"/>
        <w:tabs>
          <w:tab w:val="clear" w:pos="709"/>
        </w:tabs>
        <w:rPr>
          <w:rStyle w:val="normaltextrun"/>
        </w:rPr>
      </w:pPr>
      <w:r w:rsidRPr="007B7223">
        <w:t>On 31 August 2023, the Agency submitted the opinions of the RAC and SEAC</w:t>
      </w:r>
      <w:r w:rsidRPr="007B7223">
        <w:rPr>
          <w:rStyle w:val="Funotenzeichen"/>
        </w:rPr>
        <w:footnoteReference w:id="10"/>
      </w:r>
      <w:r w:rsidRPr="007B7223">
        <w:t xml:space="preserve"> to the Commission. </w:t>
      </w:r>
    </w:p>
    <w:p w14:paraId="2ED26756" w14:textId="0DE10E6B" w:rsidR="00A4768A" w:rsidRPr="007B7223" w:rsidRDefault="00A4768A" w:rsidP="00A4768A">
      <w:pPr>
        <w:pStyle w:val="Considrant"/>
        <w:tabs>
          <w:tab w:val="clear" w:pos="709"/>
        </w:tabs>
      </w:pPr>
      <w:r w:rsidRPr="007B7223">
        <w:rPr>
          <w:rStyle w:val="normaltextrun"/>
          <w:color w:val="000000"/>
          <w:shd w:val="clear" w:color="auto" w:fill="FFFFFF"/>
        </w:rPr>
        <w:t xml:space="preserve">Taking into account the </w:t>
      </w:r>
      <w:r w:rsidR="00F54205" w:rsidRPr="007B7223">
        <w:rPr>
          <w:rStyle w:val="normaltextrun"/>
          <w:color w:val="000000"/>
          <w:shd w:val="clear" w:color="auto" w:fill="FFFFFF"/>
        </w:rPr>
        <w:t xml:space="preserve">Annex XV </w:t>
      </w:r>
      <w:r w:rsidRPr="007B7223">
        <w:rPr>
          <w:rStyle w:val="normaltextrun"/>
          <w:color w:val="000000"/>
          <w:shd w:val="clear" w:color="auto" w:fill="FFFFFF"/>
        </w:rPr>
        <w:t>dossier, the opinions of RAC and SEAC,</w:t>
      </w:r>
      <w:r w:rsidRPr="007B7223">
        <w:t xml:space="preserve"> the socio-economic impact, and the availability of alternatives,</w:t>
      </w:r>
      <w:r w:rsidRPr="007B7223">
        <w:rPr>
          <w:rStyle w:val="normaltextrun"/>
          <w:color w:val="000000"/>
          <w:shd w:val="clear" w:color="auto" w:fill="FFFFFF"/>
        </w:rPr>
        <w:t xml:space="preserve"> the Commission concludes that</w:t>
      </w:r>
      <w:r w:rsidRPr="007B7223">
        <w:rPr>
          <w:rFonts w:eastAsia="Times New Roman"/>
        </w:rPr>
        <w:t xml:space="preserve"> there is an unacceptable risk to the environment and human health stemming from the use of PHT, and that </w:t>
      </w:r>
      <w:r w:rsidRPr="007B7223">
        <w:t>that risk needs to be addressed on a Union-wide basis. It is therefore appropriate to introduce a restriction on the placing on the market and use of PHT, as a substance on its own and, in concentration of 0.1% w/w or more, as a constituent of other substances, in mixtures and in articles</w:t>
      </w:r>
      <w:r w:rsidRPr="007B7223">
        <w:rPr>
          <w:rFonts w:eastAsia="Times New Roman"/>
        </w:rPr>
        <w:t xml:space="preserve">. The restriction proposed by the Commission follows the opinions of RAC and SEAC, with modifications. </w:t>
      </w:r>
    </w:p>
    <w:p w14:paraId="58D3241C" w14:textId="3700D791" w:rsidR="00A4768A" w:rsidRPr="007B7223" w:rsidRDefault="005A7400" w:rsidP="00A4768A">
      <w:pPr>
        <w:pStyle w:val="Considrant"/>
      </w:pPr>
      <w:bookmarkStart w:id="15" w:name="_Hlk198733634"/>
      <w:bookmarkStart w:id="16" w:name="_Hlk198734112"/>
      <w:bookmarkStart w:id="17" w:name="_Hlk195699614"/>
      <w:r w:rsidRPr="007B7223">
        <w:t>In order to allow s</w:t>
      </w:r>
      <w:r w:rsidR="00A4768A" w:rsidRPr="007B7223">
        <w:t xml:space="preserve">takeholders and Member States sufficient time to </w:t>
      </w:r>
      <w:r w:rsidR="00A0690B" w:rsidRPr="007B7223">
        <w:t>adapt to</w:t>
      </w:r>
      <w:r w:rsidR="00A4768A" w:rsidRPr="007B7223">
        <w:t xml:space="preserve"> the restriction</w:t>
      </w:r>
      <w:r w:rsidRPr="007B7223">
        <w:t xml:space="preserve">, the </w:t>
      </w:r>
      <w:r w:rsidR="00A4768A" w:rsidRPr="007B7223">
        <w:t xml:space="preserve">Commission considers that the application of the restriction should be deferred by 18 months, as recommended by the Dossier Submitter and supported by RAC and SEAC. However, the provisions concerning civilian </w:t>
      </w:r>
      <w:r w:rsidR="00A4768A" w:rsidRPr="007B7223">
        <w:rPr>
          <w:rStyle w:val="normaltextrun"/>
          <w:color w:val="000000"/>
        </w:rPr>
        <w:t>aerospace applications, including civilian aircrafts and their</w:t>
      </w:r>
      <w:r w:rsidR="00A4768A" w:rsidRPr="007B7223">
        <w:rPr>
          <w:rFonts w:eastAsia="Times New Roman"/>
          <w:bCs/>
          <w:lang w:eastAsia="en-GB"/>
        </w:rPr>
        <w:t xml:space="preserve"> spare parts, maintenance and repairs</w:t>
      </w:r>
      <w:r w:rsidR="00A4768A" w:rsidRPr="007B7223">
        <w:rPr>
          <w:rStyle w:val="normaltextrun"/>
          <w:color w:val="000000"/>
        </w:rPr>
        <w:t xml:space="preserve">, should apply after </w:t>
      </w:r>
      <w:r w:rsidR="00A4768A" w:rsidRPr="007B7223">
        <w:t>10 years, in line with the SEAC opinion.</w:t>
      </w:r>
    </w:p>
    <w:p w14:paraId="371D2628" w14:textId="4DCA669E" w:rsidR="00A4768A" w:rsidRPr="007B7223" w:rsidRDefault="00A4768A" w:rsidP="00A4768A">
      <w:pPr>
        <w:pStyle w:val="Considrant"/>
        <w:tabs>
          <w:tab w:val="clear" w:pos="709"/>
        </w:tabs>
      </w:pPr>
      <w:r w:rsidRPr="007B7223">
        <w:rPr>
          <w:color w:val="000000"/>
          <w:shd w:val="clear" w:color="auto" w:fill="FFFFFF"/>
          <w:lang w:val="en-IE"/>
        </w:rPr>
        <w:t xml:space="preserve">The Commission agrees with the Dossier Submitter, RAC and SEAC that a derogation for the </w:t>
      </w:r>
      <w:r w:rsidR="00E378A1" w:rsidRPr="007B7223">
        <w:rPr>
          <w:color w:val="000000"/>
          <w:shd w:val="clear" w:color="auto" w:fill="FFFFFF"/>
          <w:lang w:val="en-IE"/>
        </w:rPr>
        <w:t xml:space="preserve">placing on the market and </w:t>
      </w:r>
      <w:r w:rsidRPr="007B7223">
        <w:rPr>
          <w:color w:val="000000"/>
          <w:shd w:val="clear" w:color="auto" w:fill="FFFFFF"/>
          <w:lang w:val="en-IE"/>
        </w:rPr>
        <w:t xml:space="preserve">use of PHT as HTF is justified for </w:t>
      </w:r>
      <w:r w:rsidR="005B4B88" w:rsidRPr="007B7223">
        <w:rPr>
          <w:color w:val="000000"/>
          <w:shd w:val="clear" w:color="auto" w:fill="FFFFFF"/>
          <w:lang w:val="en-IE"/>
        </w:rPr>
        <w:t xml:space="preserve">industrial </w:t>
      </w:r>
      <w:r w:rsidRPr="007B7223">
        <w:rPr>
          <w:color w:val="000000"/>
          <w:shd w:val="clear" w:color="auto" w:fill="FFFFFF"/>
          <w:lang w:val="en-IE"/>
        </w:rPr>
        <w:t xml:space="preserve">sites where PHT is used in strictly controlled closed systems with appropriate technical containment and organisational measures that minimise PHT emissions to the environment. </w:t>
      </w:r>
      <w:r w:rsidRPr="007B7223">
        <w:rPr>
          <w:rStyle w:val="normaltextrun"/>
          <w:color w:val="000000"/>
          <w:shd w:val="clear" w:color="auto" w:fill="FFFFFF"/>
        </w:rPr>
        <w:t xml:space="preserve">The Commission further agrees with the Dossier Submitter and SEAC that the derogation for PHT used as HTF at industrial sites with </w:t>
      </w:r>
      <w:r w:rsidRPr="007B7223">
        <w:rPr>
          <w:rFonts w:eastAsia="Times New Roman"/>
          <w:bCs/>
          <w:lang w:eastAsia="en-GB"/>
        </w:rPr>
        <w:t xml:space="preserve">strictly controlled closed systems in place </w:t>
      </w:r>
      <w:r w:rsidRPr="007B7223">
        <w:rPr>
          <w:lang w:val="en-IE"/>
        </w:rPr>
        <w:t xml:space="preserve">should </w:t>
      </w:r>
      <w:r w:rsidR="00EF02A5" w:rsidRPr="007B7223">
        <w:rPr>
          <w:lang w:val="en-IE"/>
        </w:rPr>
        <w:t xml:space="preserve">not be </w:t>
      </w:r>
      <w:r w:rsidRPr="007B7223">
        <w:rPr>
          <w:lang w:val="en-IE"/>
        </w:rPr>
        <w:t>limited</w:t>
      </w:r>
      <w:r w:rsidR="00EF02A5" w:rsidRPr="007B7223">
        <w:rPr>
          <w:lang w:val="en-IE"/>
        </w:rPr>
        <w:t xml:space="preserve"> in time</w:t>
      </w:r>
      <w:r w:rsidRPr="007B7223">
        <w:rPr>
          <w:lang w:val="en-IE"/>
        </w:rPr>
        <w:t>, in order to avoid increased emissions from the switching to alternatives that pose the same concern as PHT. Moreover, this derogation should only apply to</w:t>
      </w:r>
      <w:r w:rsidRPr="007B7223">
        <w:rPr>
          <w:rStyle w:val="normaltextrun"/>
          <w:color w:val="000000"/>
          <w:shd w:val="clear" w:color="auto" w:fill="FFFFFF"/>
        </w:rPr>
        <w:t xml:space="preserve"> PHT used as HTF between</w:t>
      </w:r>
      <w:r w:rsidRPr="007B7223">
        <w:rPr>
          <w:rFonts w:eastAsia="Times New Roman"/>
          <w:bCs/>
          <w:lang w:eastAsia="en-GB"/>
        </w:rPr>
        <w:t xml:space="preserve"> 250˚C to 350˚C, as recommended by SEAC, since that is the temperature range where all available alternatives pose a risk of regrettable substitution. Since the Commission is entitled to review a restriction at any time, including when new information on alternatives becomes available, it is not necessary to include a mandatory review of the derogation, as recommended by SEAC.  </w:t>
      </w:r>
    </w:p>
    <w:p w14:paraId="744D9A27" w14:textId="3CDCDBCD" w:rsidR="00A4768A" w:rsidRPr="007B7223" w:rsidRDefault="00A4768A" w:rsidP="00A4768A">
      <w:pPr>
        <w:pStyle w:val="Considrant"/>
        <w:tabs>
          <w:tab w:val="clear" w:pos="709"/>
        </w:tabs>
      </w:pPr>
      <w:r w:rsidRPr="007B7223">
        <w:rPr>
          <w:rFonts w:eastAsia="Times New Roman"/>
        </w:rPr>
        <w:t>The Commission takes note of the proposal of the Dossier Submitter to defer the application of the restriction to defence applications,</w:t>
      </w:r>
      <w:r w:rsidRPr="007B7223">
        <w:rPr>
          <w:rFonts w:eastAsia="Times New Roman"/>
          <w:bCs/>
          <w:lang w:eastAsia="en-GB"/>
        </w:rPr>
        <w:t xml:space="preserve"> including military </w:t>
      </w:r>
      <w:r w:rsidRPr="007B7223">
        <w:rPr>
          <w:rStyle w:val="normaltextrun"/>
          <w:color w:val="000000"/>
        </w:rPr>
        <w:t xml:space="preserve">aircrafts and their </w:t>
      </w:r>
      <w:r w:rsidRPr="007B7223">
        <w:rPr>
          <w:rFonts w:eastAsia="Times New Roman"/>
          <w:bCs/>
          <w:lang w:eastAsia="en-GB"/>
        </w:rPr>
        <w:t xml:space="preserve">spare parts, maintenance and repairs </w:t>
      </w:r>
      <w:r w:rsidRPr="007B7223">
        <w:rPr>
          <w:rFonts w:eastAsia="Times New Roman"/>
        </w:rPr>
        <w:t xml:space="preserve">by </w:t>
      </w:r>
      <w:r w:rsidR="000671CD" w:rsidRPr="007B7223">
        <w:rPr>
          <w:rFonts w:eastAsia="Times New Roman"/>
        </w:rPr>
        <w:t xml:space="preserve">five </w:t>
      </w:r>
      <w:r w:rsidRPr="007B7223">
        <w:rPr>
          <w:rFonts w:eastAsia="Times New Roman"/>
        </w:rPr>
        <w:t>years, and the proposal of SEAC to defer it by 10 years. However, in view of the increased need for defence preparedness</w:t>
      </w:r>
      <w:r w:rsidRPr="007B7223">
        <w:rPr>
          <w:rStyle w:val="Funotenzeichen"/>
          <w:rFonts w:eastAsia="Times New Roman"/>
          <w:lang w:val="en-IE"/>
        </w:rPr>
        <w:footnoteReference w:id="11"/>
      </w:r>
      <w:r w:rsidRPr="007B7223">
        <w:rPr>
          <w:rFonts w:eastAsia="Times New Roman"/>
        </w:rPr>
        <w:t xml:space="preserve"> and the importance of securing defence supplies, the Commission considers appropriate to replace the deferral </w:t>
      </w:r>
      <w:bookmarkEnd w:id="15"/>
      <w:r w:rsidRPr="007B7223">
        <w:rPr>
          <w:rFonts w:eastAsia="Times New Roman"/>
        </w:rPr>
        <w:t xml:space="preserve">with a </w:t>
      </w:r>
      <w:r w:rsidR="00680809" w:rsidRPr="007B7223">
        <w:rPr>
          <w:rFonts w:eastAsia="Times New Roman"/>
        </w:rPr>
        <w:t xml:space="preserve">permanent </w:t>
      </w:r>
      <w:r w:rsidRPr="007B7223">
        <w:rPr>
          <w:rFonts w:eastAsia="Times New Roman"/>
        </w:rPr>
        <w:t>derogation.</w:t>
      </w:r>
      <w:bookmarkEnd w:id="16"/>
      <w:bookmarkEnd w:id="17"/>
    </w:p>
    <w:p w14:paraId="601FD143" w14:textId="7BB25401" w:rsidR="00A4768A" w:rsidRPr="007B7223" w:rsidRDefault="00A4768A" w:rsidP="00A4768A">
      <w:pPr>
        <w:pStyle w:val="Considrant"/>
        <w:tabs>
          <w:tab w:val="clear" w:pos="709"/>
        </w:tabs>
      </w:pPr>
      <w:r w:rsidRPr="007B7223">
        <w:rPr>
          <w:rFonts w:eastAsia="Times New Roman"/>
          <w:bCs/>
          <w:lang w:eastAsia="en-GB"/>
        </w:rPr>
        <w:t xml:space="preserve">To avoid unnecessary recalls, civilian aircrafts containing PHT that are placed on the market within 10 years after the entry into force of this </w:t>
      </w:r>
      <w:r w:rsidR="00A20CA5" w:rsidRPr="007B7223">
        <w:rPr>
          <w:rFonts w:eastAsia="Times New Roman"/>
          <w:bCs/>
          <w:lang w:eastAsia="en-GB"/>
        </w:rPr>
        <w:t>Regulation</w:t>
      </w:r>
      <w:r w:rsidRPr="007B7223">
        <w:rPr>
          <w:rFonts w:eastAsia="Times New Roman"/>
          <w:bCs/>
          <w:lang w:eastAsia="en-GB"/>
        </w:rPr>
        <w:t>, by virtue of the deferred application of the restriction to civilian aerospace applications, may continue to be placed on the market and used until the end of their service life</w:t>
      </w:r>
      <w:r w:rsidRPr="007B7223">
        <w:rPr>
          <w:lang w:eastAsia="en-GB"/>
        </w:rPr>
        <w:t>.</w:t>
      </w:r>
    </w:p>
    <w:p w14:paraId="3FABE45C" w14:textId="7FADC8D0" w:rsidR="00A4768A" w:rsidRPr="007B7223" w:rsidRDefault="00A4768A" w:rsidP="00A4768A">
      <w:pPr>
        <w:pStyle w:val="Considrant"/>
        <w:rPr>
          <w:rStyle w:val="normaltextrun"/>
        </w:rPr>
      </w:pPr>
      <w:r w:rsidRPr="007B7223">
        <w:rPr>
          <w:rStyle w:val="normaltextrun"/>
          <w:color w:val="000000"/>
        </w:rPr>
        <w:t xml:space="preserve">To avoid unnecessary recalls and facilitate enforcement, the restriction should not apply to </w:t>
      </w:r>
      <w:r w:rsidRPr="007B7223">
        <w:rPr>
          <w:rStyle w:val="normaltextrun"/>
          <w:color w:val="000000"/>
          <w:shd w:val="clear" w:color="auto" w:fill="FFFFFF"/>
        </w:rPr>
        <w:t>PHT in</w:t>
      </w:r>
      <w:r w:rsidRPr="007B7223">
        <w:rPr>
          <w:rStyle w:val="normaltextrun"/>
          <w:color w:val="000000"/>
        </w:rPr>
        <w:t xml:space="preserve"> </w:t>
      </w:r>
      <w:r w:rsidR="00843F3C" w:rsidRPr="007B7223">
        <w:rPr>
          <w:rStyle w:val="normaltextrun"/>
          <w:color w:val="000000"/>
        </w:rPr>
        <w:t xml:space="preserve">mixtures and </w:t>
      </w:r>
      <w:r w:rsidRPr="007B7223">
        <w:rPr>
          <w:rStyle w:val="normaltextrun"/>
          <w:color w:val="000000"/>
        </w:rPr>
        <w:t>articles</w:t>
      </w:r>
      <w:r w:rsidR="005525D0" w:rsidRPr="007B7223">
        <w:rPr>
          <w:rStyle w:val="normaltextrun"/>
          <w:color w:val="000000"/>
        </w:rPr>
        <w:t xml:space="preserve">, including </w:t>
      </w:r>
      <w:r w:rsidR="00E8306D" w:rsidRPr="007B7223">
        <w:rPr>
          <w:rStyle w:val="normaltextrun"/>
          <w:color w:val="000000"/>
        </w:rPr>
        <w:t xml:space="preserve">in </w:t>
      </w:r>
      <w:r w:rsidR="005525D0" w:rsidRPr="007B7223">
        <w:rPr>
          <w:rStyle w:val="normaltextrun"/>
          <w:color w:val="000000"/>
        </w:rPr>
        <w:t>second</w:t>
      </w:r>
      <w:r w:rsidR="00091162" w:rsidRPr="007B7223">
        <w:rPr>
          <w:rStyle w:val="normaltextrun"/>
          <w:color w:val="000000"/>
        </w:rPr>
        <w:t>-</w:t>
      </w:r>
      <w:r w:rsidR="005525D0" w:rsidRPr="007B7223">
        <w:rPr>
          <w:rStyle w:val="normaltextrun"/>
          <w:color w:val="000000"/>
        </w:rPr>
        <w:t xml:space="preserve">hand </w:t>
      </w:r>
      <w:r w:rsidR="00E8306D" w:rsidRPr="007B7223">
        <w:rPr>
          <w:rStyle w:val="normaltextrun"/>
          <w:color w:val="000000"/>
        </w:rPr>
        <w:t>articles,</w:t>
      </w:r>
      <w:r w:rsidR="00A0690B" w:rsidRPr="007B7223">
        <w:rPr>
          <w:rStyle w:val="normaltextrun"/>
          <w:color w:val="000000"/>
          <w:shd w:val="clear" w:color="auto" w:fill="FFFFFF"/>
        </w:rPr>
        <w:t xml:space="preserve"> </w:t>
      </w:r>
      <w:r w:rsidRPr="007B7223">
        <w:rPr>
          <w:rStyle w:val="normaltextrun"/>
          <w:color w:val="000000"/>
        </w:rPr>
        <w:t>that were placed on the market in the Union before</w:t>
      </w:r>
      <w:r w:rsidR="002B4F0B" w:rsidRPr="007B7223">
        <w:rPr>
          <w:rStyle w:val="normaltextrun"/>
          <w:color w:val="000000"/>
        </w:rPr>
        <w:t xml:space="preserve"> </w:t>
      </w:r>
      <w:r w:rsidR="002B4F0B" w:rsidRPr="007B7223">
        <w:rPr>
          <w:rFonts w:eastAsia="Times New Roman"/>
          <w:bCs/>
          <w:szCs w:val="24"/>
          <w:lang w:eastAsia="en-GB"/>
        </w:rPr>
        <w:t>[</w:t>
      </w:r>
      <w:r w:rsidR="002B4F0B" w:rsidRPr="007B7223">
        <w:rPr>
          <w:rFonts w:eastAsia="Times New Roman"/>
          <w:bCs/>
          <w:i/>
          <w:iCs/>
          <w:szCs w:val="24"/>
          <w:lang w:eastAsia="en-GB"/>
        </w:rPr>
        <w:t xml:space="preserve">Publication Office, please </w:t>
      </w:r>
      <w:r w:rsidR="002B4F0B" w:rsidRPr="007B7223">
        <w:rPr>
          <w:i/>
          <w:szCs w:val="24"/>
        </w:rPr>
        <w:t xml:space="preserve">insert the date corresponding to </w:t>
      </w:r>
      <w:r w:rsidR="002B4F0B" w:rsidRPr="007B7223">
        <w:rPr>
          <w:b/>
          <w:bCs/>
          <w:i/>
          <w:szCs w:val="24"/>
        </w:rPr>
        <w:t>18 months</w:t>
      </w:r>
      <w:r w:rsidR="002B4F0B" w:rsidRPr="007B7223">
        <w:rPr>
          <w:i/>
          <w:szCs w:val="24"/>
        </w:rPr>
        <w:t xml:space="preserve"> after the entry into force of this Regulation</w:t>
      </w:r>
      <w:r w:rsidR="002B4F0B" w:rsidRPr="007B7223">
        <w:rPr>
          <w:rFonts w:eastAsia="Times New Roman"/>
          <w:bCs/>
          <w:szCs w:val="24"/>
          <w:lang w:eastAsia="en-GB"/>
        </w:rPr>
        <w:t>]</w:t>
      </w:r>
      <w:r w:rsidRPr="007B7223">
        <w:rPr>
          <w:rStyle w:val="normaltextrun"/>
          <w:color w:val="000000"/>
          <w:shd w:val="clear" w:color="auto" w:fill="FFFFFF"/>
        </w:rPr>
        <w:t xml:space="preserve">. </w:t>
      </w:r>
    </w:p>
    <w:p w14:paraId="40648247" w14:textId="77777777" w:rsidR="00A4768A" w:rsidRPr="007B7223" w:rsidRDefault="00A4768A" w:rsidP="00A4768A">
      <w:pPr>
        <w:pStyle w:val="Considrant"/>
        <w:tabs>
          <w:tab w:val="clear" w:pos="709"/>
        </w:tabs>
      </w:pPr>
      <w:r w:rsidRPr="007B7223">
        <w:t>Regulation (EC) No 1907/2006 should therefore be amended accordingly.</w:t>
      </w:r>
    </w:p>
    <w:p w14:paraId="4FD12B97" w14:textId="2D7190C7" w:rsidR="00A4768A" w:rsidRPr="007B7223" w:rsidRDefault="00A4768A" w:rsidP="00A4768A">
      <w:pPr>
        <w:pStyle w:val="Considrant"/>
      </w:pPr>
      <w:r w:rsidRPr="007B7223">
        <w:t>The measures provided for in this Regulation are in accordance with the opinion of the Committee established under Article 133 of Regulation (EC) No 1907/2006.</w:t>
      </w:r>
    </w:p>
    <w:p w14:paraId="26820D42" w14:textId="77777777" w:rsidR="00A4768A" w:rsidRPr="007B7223" w:rsidRDefault="00A4768A" w:rsidP="001C3314">
      <w:pPr>
        <w:pStyle w:val="Formuledadoption"/>
      </w:pPr>
      <w:r w:rsidRPr="007B7223">
        <w:t>HAS ADOPTED THIS REGULATION:</w:t>
      </w:r>
    </w:p>
    <w:p w14:paraId="664368CD" w14:textId="77777777" w:rsidR="00A4768A" w:rsidRPr="007B7223" w:rsidRDefault="00A4768A" w:rsidP="001C3314">
      <w:pPr>
        <w:pStyle w:val="Titrearticle"/>
      </w:pPr>
      <w:r w:rsidRPr="007B7223">
        <w:t>Article 1</w:t>
      </w:r>
    </w:p>
    <w:p w14:paraId="431879C8" w14:textId="114B9E1D" w:rsidR="00A4768A" w:rsidRPr="007B7223" w:rsidRDefault="00A4768A" w:rsidP="001C3314">
      <w:r w:rsidRPr="007B7223">
        <w:t>Annex XVII to Regulation (EC) No 1907/2006 is amended in accordance with the Annex to this Regulation.</w:t>
      </w:r>
    </w:p>
    <w:p w14:paraId="1D04CA6C" w14:textId="0ADCB431" w:rsidR="00A4768A" w:rsidRPr="007B7223" w:rsidRDefault="00A4768A" w:rsidP="001C3314">
      <w:pPr>
        <w:pStyle w:val="Titrearticle"/>
      </w:pPr>
      <w:r w:rsidRPr="007B7223">
        <w:t>Article 2</w:t>
      </w:r>
    </w:p>
    <w:p w14:paraId="45591453" w14:textId="4A13783F" w:rsidR="00A4768A" w:rsidRPr="007B7223" w:rsidRDefault="00A4768A" w:rsidP="00A4768A">
      <w:r w:rsidRPr="007B7223">
        <w:t xml:space="preserve">This Regulation shall enter into force on the twentieth day following that of its publication in the </w:t>
      </w:r>
      <w:r w:rsidRPr="007B7223">
        <w:rPr>
          <w:i/>
          <w:iCs/>
        </w:rPr>
        <w:t>Official Journal of the European Union</w:t>
      </w:r>
      <w:r w:rsidRPr="007B7223">
        <w:t xml:space="preserve">. </w:t>
      </w:r>
    </w:p>
    <w:p w14:paraId="056D90FE" w14:textId="77777777" w:rsidR="00A4768A" w:rsidRPr="007B7223" w:rsidRDefault="00A4768A" w:rsidP="00F404D5">
      <w:pPr>
        <w:pStyle w:val="Applicationdirecte"/>
      </w:pPr>
      <w:r w:rsidRPr="007B7223">
        <w:t>This Regulation shall be binding in its entirety and directly applicable in all Member States.</w:t>
      </w:r>
    </w:p>
    <w:p w14:paraId="1C301AEF" w14:textId="6E3A4862" w:rsidR="00A4768A" w:rsidRPr="007B7223" w:rsidRDefault="00B80157" w:rsidP="00B80157">
      <w:pPr>
        <w:pStyle w:val="Fait"/>
      </w:pPr>
      <w:r w:rsidRPr="007B7223">
        <w:t>Done at Brussels,</w:t>
      </w:r>
    </w:p>
    <w:p w14:paraId="7C85F9AB" w14:textId="77777777" w:rsidR="00A4768A" w:rsidRPr="007B7223" w:rsidRDefault="00A4768A" w:rsidP="00A4768A">
      <w:pPr>
        <w:pStyle w:val="Institutionquisigne"/>
      </w:pPr>
      <w:r w:rsidRPr="007B7223">
        <w:tab/>
        <w:t>For the Commission</w:t>
      </w:r>
    </w:p>
    <w:p w14:paraId="3AC813D3" w14:textId="77A3B0FB" w:rsidR="00A4768A" w:rsidRPr="00A4768A" w:rsidRDefault="00A4768A" w:rsidP="00A4768A">
      <w:pPr>
        <w:pStyle w:val="Personnequisigne"/>
      </w:pPr>
      <w:r w:rsidRPr="007B7223">
        <w:tab/>
        <w:t>The President</w:t>
      </w:r>
      <w:r w:rsidRPr="007B7223">
        <w:br/>
      </w:r>
      <w:r w:rsidRPr="007B7223">
        <w:tab/>
        <w:t>Ursula von der Leyen</w:t>
      </w:r>
    </w:p>
    <w:sectPr w:rsidR="00A4768A" w:rsidRPr="00A4768A" w:rsidSect="008A4BA7">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6BBF7" w14:textId="77777777" w:rsidR="00D60E7A" w:rsidRDefault="00D60E7A" w:rsidP="00A4768A">
      <w:pPr>
        <w:spacing w:before="0" w:after="0"/>
      </w:pPr>
      <w:r>
        <w:separator/>
      </w:r>
    </w:p>
  </w:endnote>
  <w:endnote w:type="continuationSeparator" w:id="0">
    <w:p w14:paraId="484B2D08" w14:textId="77777777" w:rsidR="00D60E7A" w:rsidRDefault="00D60E7A" w:rsidP="00A4768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2FB80" w14:textId="28E33702" w:rsidR="00B80157" w:rsidRPr="008A4BA7" w:rsidRDefault="008A4BA7" w:rsidP="008A4BA7">
    <w:pPr>
      <w:pStyle w:val="Fuzeile"/>
      <w:rPr>
        <w:rFonts w:ascii="Arial" w:hAnsi="Arial" w:cs="Arial"/>
        <w:b/>
        <w:sz w:val="48"/>
      </w:rPr>
    </w:pPr>
    <w:r w:rsidRPr="008A4BA7">
      <w:rPr>
        <w:rFonts w:ascii="Arial" w:hAnsi="Arial" w:cs="Arial"/>
        <w:b/>
        <w:sz w:val="48"/>
      </w:rPr>
      <w:t>EN</w:t>
    </w:r>
    <w:r w:rsidRPr="008A4BA7">
      <w:rPr>
        <w:rFonts w:ascii="Arial" w:hAnsi="Arial" w:cs="Arial"/>
        <w:b/>
        <w:sz w:val="48"/>
      </w:rPr>
      <w:tab/>
    </w:r>
    <w:r w:rsidRPr="008A4BA7">
      <w:rPr>
        <w:rFonts w:ascii="Arial" w:hAnsi="Arial" w:cs="Arial"/>
        <w:b/>
        <w:sz w:val="48"/>
      </w:rPr>
      <w:tab/>
    </w:r>
    <w:r w:rsidRPr="008A4BA7">
      <w:tab/>
    </w:r>
    <w:r w:rsidRPr="008A4BA7">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CAD7" w14:textId="7243E991" w:rsidR="00B80157" w:rsidRPr="008A4BA7" w:rsidRDefault="008A4BA7" w:rsidP="008A4BA7">
    <w:pPr>
      <w:pStyle w:val="Fuzeile"/>
      <w:rPr>
        <w:rFonts w:ascii="Arial" w:hAnsi="Arial" w:cs="Arial"/>
        <w:b/>
        <w:sz w:val="48"/>
      </w:rPr>
    </w:pPr>
    <w:r w:rsidRPr="008A4BA7">
      <w:rPr>
        <w:rFonts w:ascii="Arial" w:hAnsi="Arial" w:cs="Arial"/>
        <w:b/>
        <w:sz w:val="48"/>
      </w:rPr>
      <w:t>EN</w:t>
    </w:r>
    <w:r w:rsidRPr="008A4BA7">
      <w:rPr>
        <w:rFonts w:ascii="Arial" w:hAnsi="Arial" w:cs="Arial"/>
        <w:b/>
        <w:sz w:val="48"/>
      </w:rPr>
      <w:tab/>
    </w:r>
    <w:r w:rsidRPr="008A4BA7">
      <w:rPr>
        <w:rFonts w:ascii="Arial" w:hAnsi="Arial" w:cs="Arial"/>
        <w:b/>
        <w:sz w:val="48"/>
      </w:rPr>
      <w:tab/>
    </w:r>
    <w:r w:rsidRPr="008A4BA7">
      <w:tab/>
    </w:r>
    <w:r w:rsidRPr="008A4BA7">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1DC80" w14:textId="77777777" w:rsidR="00B80157" w:rsidRPr="009219BF" w:rsidRDefault="00B80157" w:rsidP="009219BF">
    <w:pPr>
      <w:pStyle w:val="Fuzeile"/>
      <w:rPr>
        <w:rFonts w:ascii="Arial" w:hAnsi="Arial" w:cs="Arial"/>
        <w:b/>
        <w:sz w:val="48"/>
      </w:rPr>
    </w:pPr>
    <w:r w:rsidRPr="009219BF">
      <w:rPr>
        <w:rFonts w:ascii="Arial" w:hAnsi="Arial" w:cs="Arial"/>
        <w:b/>
        <w:sz w:val="48"/>
      </w:rPr>
      <w:t>EN</w:t>
    </w:r>
    <w:r w:rsidRPr="009219BF">
      <w:rPr>
        <w:rFonts w:ascii="Arial" w:hAnsi="Arial" w:cs="Arial"/>
        <w:b/>
        <w:sz w:val="48"/>
      </w:rPr>
      <w:tab/>
    </w:r>
    <w:r w:rsidRPr="009219BF">
      <w:rPr>
        <w:rFonts w:ascii="Arial" w:hAnsi="Arial" w:cs="Arial"/>
        <w:b/>
        <w:sz w:val="48"/>
      </w:rPr>
      <w:tab/>
    </w:r>
    <w:r w:rsidRPr="009219BF">
      <w:tab/>
    </w:r>
    <w:r w:rsidRPr="009219BF">
      <w:rPr>
        <w:rFonts w:ascii="Arial" w:hAnsi="Arial" w:cs="Arial"/>
        <w:b/>
        <w:sz w:val="48"/>
      </w:rPr>
      <w:t>EN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62EF0" w14:textId="2285043B" w:rsidR="008A4BA7" w:rsidRPr="008A4BA7" w:rsidRDefault="008A4BA7" w:rsidP="008A4BA7">
    <w:pPr>
      <w:pStyle w:val="Fuzeile"/>
      <w:rPr>
        <w:rFonts w:ascii="Arial" w:hAnsi="Arial" w:cs="Arial"/>
        <w:b/>
        <w:sz w:val="48"/>
      </w:rPr>
    </w:pPr>
    <w:r w:rsidRPr="008A4BA7">
      <w:rPr>
        <w:rFonts w:ascii="Arial" w:hAnsi="Arial" w:cs="Arial"/>
        <w:b/>
        <w:sz w:val="48"/>
      </w:rPr>
      <w:t>EN</w:t>
    </w:r>
    <w:r w:rsidRPr="008A4BA7">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8A4BA7">
      <w:tab/>
    </w:r>
    <w:r w:rsidRPr="008A4BA7">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B765C" w14:textId="77777777" w:rsidR="00B80157" w:rsidRDefault="00B80157" w:rsidP="008A4BA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9B66B" w14:textId="77777777" w:rsidR="00D60E7A" w:rsidRDefault="00D60E7A" w:rsidP="00A4768A">
      <w:pPr>
        <w:spacing w:before="0" w:after="0"/>
      </w:pPr>
      <w:r>
        <w:separator/>
      </w:r>
    </w:p>
  </w:footnote>
  <w:footnote w:type="continuationSeparator" w:id="0">
    <w:p w14:paraId="068C4B77" w14:textId="77777777" w:rsidR="00D60E7A" w:rsidRDefault="00D60E7A" w:rsidP="00A4768A">
      <w:pPr>
        <w:spacing w:before="0" w:after="0"/>
      </w:pPr>
      <w:r>
        <w:continuationSeparator/>
      </w:r>
    </w:p>
  </w:footnote>
  <w:footnote w:id="1">
    <w:p w14:paraId="2D2E7569" w14:textId="3F31AB3F" w:rsidR="00A4768A" w:rsidRPr="007B7223" w:rsidRDefault="00A4768A" w:rsidP="00A4768A">
      <w:pPr>
        <w:pStyle w:val="Funotentext"/>
        <w:rPr>
          <w:lang w:val="nl-BE"/>
        </w:rPr>
      </w:pPr>
      <w:r w:rsidRPr="00B116AF">
        <w:rPr>
          <w:rStyle w:val="Funotenzeichen"/>
        </w:rPr>
        <w:footnoteRef/>
      </w:r>
      <w:r w:rsidRPr="007B7223">
        <w:rPr>
          <w:lang w:val="nl-BE"/>
        </w:rPr>
        <w:tab/>
        <w:t>OJ L 396, 30.12.2006, p 1</w:t>
      </w:r>
      <w:r w:rsidR="00F7457C" w:rsidRPr="007B7223">
        <w:rPr>
          <w:lang w:val="nl-BE"/>
        </w:rPr>
        <w:t>, ELI: </w:t>
      </w:r>
      <w:hyperlink r:id="rId1" w:tooltip="Gives access to this document through its ELI URI." w:history="1">
        <w:r w:rsidR="00F7457C" w:rsidRPr="007B7223">
          <w:rPr>
            <w:rStyle w:val="Hyperlink"/>
            <w:lang w:val="nl-BE"/>
          </w:rPr>
          <w:t>http://data.europa.eu/eli/reg/2006/1907/oj</w:t>
        </w:r>
      </w:hyperlink>
      <w:r w:rsidRPr="007B7223">
        <w:rPr>
          <w:lang w:val="nl-BE"/>
        </w:rPr>
        <w:t>.</w:t>
      </w:r>
    </w:p>
  </w:footnote>
  <w:footnote w:id="2">
    <w:p w14:paraId="6A5AF5B7" w14:textId="77777777" w:rsidR="00A4768A" w:rsidRPr="009572A2" w:rsidRDefault="00A4768A" w:rsidP="00A4768A">
      <w:pPr>
        <w:pStyle w:val="Funotentext"/>
      </w:pPr>
      <w:r w:rsidRPr="00B116AF">
        <w:rPr>
          <w:rStyle w:val="Funotenzeichen"/>
        </w:rPr>
        <w:footnoteRef/>
      </w:r>
      <w:r>
        <w:tab/>
        <w:t>CAS No: 61788-32-7 and EC No: 262-967-7.</w:t>
      </w:r>
    </w:p>
  </w:footnote>
  <w:footnote w:id="3">
    <w:p w14:paraId="1D42747F" w14:textId="77777777" w:rsidR="00A4768A" w:rsidRPr="00B07D7B" w:rsidRDefault="00A4768A" w:rsidP="00A4768A">
      <w:pPr>
        <w:pStyle w:val="Funotentext"/>
      </w:pPr>
      <w:r w:rsidRPr="00B116AF">
        <w:rPr>
          <w:rStyle w:val="Funotenzeichen"/>
        </w:rPr>
        <w:footnoteRef/>
      </w:r>
      <w:r>
        <w:tab/>
        <w:t xml:space="preserve">Member State Committee. Support document for identification of terphenyl, hydrogenated as a substance of very high concern because of its vPvB properties (article 57e). Adopted on 1 June 2018. </w:t>
      </w:r>
      <w:hyperlink r:id="rId2" w:history="1">
        <w:r w:rsidRPr="00B07D7B">
          <w:rPr>
            <w:rStyle w:val="Hyperlink"/>
          </w:rPr>
          <w:t>https://www.echa.europa.eu/documents/10162/fb7a9167-7d65-dd4c-2aa2-b8182d4a8e37</w:t>
        </w:r>
      </w:hyperlink>
      <w:r>
        <w:t xml:space="preserve"> </w:t>
      </w:r>
    </w:p>
  </w:footnote>
  <w:footnote w:id="4">
    <w:p w14:paraId="197BEE9A" w14:textId="7E203FE5" w:rsidR="00A4768A" w:rsidRPr="00033640" w:rsidRDefault="00A4768A" w:rsidP="00A4768A">
      <w:pPr>
        <w:pStyle w:val="Funotentext"/>
      </w:pPr>
      <w:r w:rsidRPr="00B116AF">
        <w:rPr>
          <w:rStyle w:val="Funotenzeichen"/>
        </w:rPr>
        <w:footnoteRef/>
      </w:r>
      <w:r>
        <w:tab/>
        <w:t>Inclusion of substances of very high concern in the Candidate List for eventual inclusion in Annex XIV.</w:t>
      </w:r>
      <w:r w:rsidRPr="00CF4DF0">
        <w:t xml:space="preserve"> (Decision of the European Chemicals Agency)</w:t>
      </w:r>
      <w:r w:rsidR="00C0101C">
        <w:t xml:space="preserve">, Decision of </w:t>
      </w:r>
      <w:r w:rsidR="009C2BCD">
        <w:t>2</w:t>
      </w:r>
      <w:r w:rsidR="000E0711">
        <w:t>0</w:t>
      </w:r>
      <w:r w:rsidR="009C2BCD">
        <w:t xml:space="preserve"> June </w:t>
      </w:r>
      <w:r w:rsidR="0003070A">
        <w:t>2018,</w:t>
      </w:r>
      <w:r>
        <w:t xml:space="preserve"> </w:t>
      </w:r>
      <w:hyperlink r:id="rId3" w:history="1">
        <w:r w:rsidRPr="00033640">
          <w:rPr>
            <w:rStyle w:val="Hyperlink"/>
          </w:rPr>
          <w:t>https://echa.europa.eu/documents/10162/fc78f7e5-8f8a-de84-1141-499c5e021d31</w:t>
        </w:r>
      </w:hyperlink>
      <w:r w:rsidR="007A2DF2">
        <w:t>.</w:t>
      </w:r>
      <w:r>
        <w:t xml:space="preserve"> </w:t>
      </w:r>
    </w:p>
  </w:footnote>
  <w:footnote w:id="5">
    <w:p w14:paraId="427D41D8" w14:textId="77777777" w:rsidR="00A4768A" w:rsidRPr="00AF6E2D" w:rsidRDefault="00A4768A" w:rsidP="00A4768A">
      <w:pPr>
        <w:pStyle w:val="Funotentext"/>
        <w:rPr>
          <w:lang w:val="en-IE"/>
        </w:rPr>
      </w:pPr>
      <w:r w:rsidRPr="00B116AF">
        <w:rPr>
          <w:rStyle w:val="Funotenzeichen"/>
        </w:rPr>
        <w:footnoteRef/>
      </w:r>
      <w:r>
        <w:rPr>
          <w:lang w:val="en-IE"/>
        </w:rPr>
        <w:tab/>
      </w:r>
      <w:r w:rsidRPr="003410D5">
        <w:rPr>
          <w:lang w:val="en-IE"/>
        </w:rPr>
        <w:t>Istituto Superiore di Sanità, o</w:t>
      </w:r>
      <w:r>
        <w:rPr>
          <w:lang w:val="en-IE"/>
        </w:rPr>
        <w:t>n</w:t>
      </w:r>
      <w:r w:rsidRPr="003410D5">
        <w:rPr>
          <w:lang w:val="en-IE"/>
        </w:rPr>
        <w:t xml:space="preserve"> behalf of the Italian Ministry of </w:t>
      </w:r>
      <w:r>
        <w:rPr>
          <w:lang w:val="en-IE"/>
        </w:rPr>
        <w:t>Health</w:t>
      </w:r>
      <w:r w:rsidRPr="003410D5">
        <w:rPr>
          <w:lang w:val="en-IE"/>
        </w:rPr>
        <w:t>. Annex XV restriction report (5</w:t>
      </w:r>
      <w:r>
        <w:rPr>
          <w:lang w:val="en-IE"/>
        </w:rPr>
        <w:t> </w:t>
      </w:r>
      <w:r w:rsidRPr="003410D5">
        <w:rPr>
          <w:lang w:val="en-IE"/>
        </w:rPr>
        <w:t xml:space="preserve">April 2022). </w:t>
      </w:r>
      <w:hyperlink r:id="rId4" w:history="1">
        <w:r w:rsidRPr="00AF6E2D">
          <w:rPr>
            <w:rStyle w:val="Hyperlink"/>
            <w:bdr w:val="none" w:sz="0" w:space="0" w:color="auto" w:frame="1"/>
            <w:lang w:val="en-IE"/>
          </w:rPr>
          <w:t>https://echa.europa.eu/documents/10162/c0cb9178-9bc7-b4f3-1c25-0fda75b81fb1</w:t>
        </w:r>
      </w:hyperlink>
      <w:r w:rsidRPr="00AF6E2D">
        <w:rPr>
          <w:rStyle w:val="normaltextrun"/>
          <w:color w:val="000000"/>
          <w:bdr w:val="none" w:sz="0" w:space="0" w:color="auto" w:frame="1"/>
          <w:lang w:val="en-IE"/>
        </w:rPr>
        <w:t xml:space="preserve"> </w:t>
      </w:r>
    </w:p>
  </w:footnote>
  <w:footnote w:id="6">
    <w:p w14:paraId="5A53C246" w14:textId="77777777" w:rsidR="00A4768A" w:rsidRPr="003410D5" w:rsidRDefault="00A4768A" w:rsidP="00A4768A">
      <w:pPr>
        <w:pStyle w:val="Funotentext"/>
        <w:rPr>
          <w:lang w:val="en-IE"/>
        </w:rPr>
      </w:pPr>
      <w:r w:rsidRPr="00B116AF">
        <w:rPr>
          <w:rStyle w:val="Funotenzeichen"/>
        </w:rPr>
        <w:footnoteRef/>
      </w:r>
      <w:r>
        <w:tab/>
      </w:r>
      <w:r w:rsidRPr="003410D5">
        <w:t>Committee for Risk Assessment (RAC)</w:t>
      </w:r>
      <w:r>
        <w:t xml:space="preserve">, </w:t>
      </w:r>
      <w:r w:rsidRPr="003410D5">
        <w:t>Committee for Socio-economic Analysis (SEAC)</w:t>
      </w:r>
      <w:r>
        <w:t>.</w:t>
      </w:r>
      <w:r w:rsidRPr="003410D5">
        <w:t xml:space="preserve"> Background document to the Opinion on the Annex XV dossier proposing restrictions on</w:t>
      </w:r>
      <w:r>
        <w:t xml:space="preserve"> </w:t>
      </w:r>
      <w:r w:rsidRPr="003410D5">
        <w:t>Terphenyl, hydrogenated</w:t>
      </w:r>
      <w:r>
        <w:t xml:space="preserve">. </w:t>
      </w:r>
      <w:r w:rsidRPr="003410D5">
        <w:rPr>
          <w:lang w:val="en-IE"/>
        </w:rPr>
        <w:t xml:space="preserve">(10 March </w:t>
      </w:r>
      <w:r>
        <w:rPr>
          <w:lang w:val="en-IE"/>
        </w:rPr>
        <w:t>2023)</w:t>
      </w:r>
      <w:r w:rsidRPr="003410D5">
        <w:rPr>
          <w:lang w:val="en-IE"/>
        </w:rPr>
        <w:t xml:space="preserve"> </w:t>
      </w:r>
      <w:hyperlink r:id="rId5" w:history="1">
        <w:r w:rsidRPr="003410D5">
          <w:rPr>
            <w:rStyle w:val="Hyperlink"/>
            <w:lang w:val="en-IE"/>
          </w:rPr>
          <w:t>https://echa.europa.eu/documents/10162/991a2616-f4c1-347d-976f-560c6c3b4213</w:t>
        </w:r>
      </w:hyperlink>
      <w:r w:rsidRPr="003410D5">
        <w:rPr>
          <w:lang w:val="en-IE"/>
        </w:rPr>
        <w:t xml:space="preserve"> </w:t>
      </w:r>
    </w:p>
  </w:footnote>
  <w:footnote w:id="7">
    <w:p w14:paraId="1ACF00FF" w14:textId="7763465A" w:rsidR="00EA5456" w:rsidRPr="00EA5456" w:rsidRDefault="00EA5456">
      <w:pPr>
        <w:pStyle w:val="Funotentext"/>
      </w:pPr>
      <w:r w:rsidRPr="008A4BA7">
        <w:rPr>
          <w:rStyle w:val="Funotenzeichen"/>
        </w:rPr>
        <w:footnoteRef/>
      </w:r>
      <w:r w:rsidR="008A4BA7">
        <w:tab/>
      </w:r>
      <w:r>
        <w:rPr>
          <w:lang w:val="en-IE"/>
        </w:rPr>
        <w:t xml:space="preserve">Directive 2012/19/EU of the European Parliament and of the Council of 4 July 2012 on waste electrical and electronic equipment (WEEE) (recast), OJ L 197, 24.7.2012, pp. 38-71, ELI: </w:t>
      </w:r>
      <w:r w:rsidRPr="00EA5456">
        <w:t> </w:t>
      </w:r>
      <w:hyperlink r:id="rId6" w:history="1">
        <w:r w:rsidRPr="007B7223">
          <w:rPr>
            <w:rStyle w:val="Hyperlink"/>
          </w:rPr>
          <w:t>http://data.</w:t>
        </w:r>
        <w:r w:rsidRPr="007B7223">
          <w:rPr>
            <w:rStyle w:val="Hyperlink"/>
          </w:rPr>
          <w:br/>
          <w:t>europa.eu/eli/dir/2012/19/oj</w:t>
        </w:r>
      </w:hyperlink>
      <w:r>
        <w:t>.</w:t>
      </w:r>
    </w:p>
  </w:footnote>
  <w:footnote w:id="8">
    <w:p w14:paraId="5A50EA38" w14:textId="77777777" w:rsidR="00A4768A" w:rsidRPr="00AE53FA" w:rsidRDefault="00A4768A" w:rsidP="00A4768A">
      <w:pPr>
        <w:pStyle w:val="Funotentext"/>
        <w:rPr>
          <w:lang w:val="en-US"/>
        </w:rPr>
      </w:pPr>
      <w:r w:rsidRPr="00B116AF">
        <w:rPr>
          <w:rStyle w:val="Funotenzeichen"/>
        </w:rPr>
        <w:footnoteRef/>
      </w:r>
      <w:r>
        <w:tab/>
      </w:r>
      <w:r w:rsidRPr="003C041B">
        <w:t>Committee for Risk Assessment (RAC)</w:t>
      </w:r>
      <w:r>
        <w:t>.</w:t>
      </w:r>
      <w:r w:rsidRPr="003C041B">
        <w:t xml:space="preserve"> Opinion on an Annex XV dossier proposing restrictions on Terphenyl, hydrogenated</w:t>
      </w:r>
      <w:r>
        <w:t xml:space="preserve">. 16 March 2023. </w:t>
      </w:r>
      <w:hyperlink r:id="rId7" w:history="1">
        <w:r w:rsidRPr="005A0214">
          <w:rPr>
            <w:rStyle w:val="Hyperlink"/>
          </w:rPr>
          <w:t>https://echa.europa.eu/documents/10162/00b6d85e-cf80-2a01-227a-7ce71111f653</w:t>
        </w:r>
      </w:hyperlink>
      <w:r>
        <w:t xml:space="preserve"> </w:t>
      </w:r>
    </w:p>
  </w:footnote>
  <w:footnote w:id="9">
    <w:p w14:paraId="6D364AAC" w14:textId="77777777" w:rsidR="00A4768A" w:rsidRPr="008C6591" w:rsidRDefault="00A4768A" w:rsidP="00A4768A">
      <w:pPr>
        <w:pStyle w:val="Funotentext"/>
        <w:rPr>
          <w:lang w:val="en-IE"/>
        </w:rPr>
      </w:pPr>
      <w:r w:rsidRPr="00B116AF">
        <w:rPr>
          <w:rStyle w:val="Funotenzeichen"/>
        </w:rPr>
        <w:footnoteRef/>
      </w:r>
      <w:r>
        <w:tab/>
      </w:r>
      <w:r w:rsidRPr="003C041B">
        <w:t>Committee for Risk Assessment (RAC)</w:t>
      </w:r>
      <w:r>
        <w:t>,</w:t>
      </w:r>
      <w:r w:rsidRPr="003C041B">
        <w:t xml:space="preserve"> Committee for Socio-economic Analysis (SEAC)</w:t>
      </w:r>
      <w:r>
        <w:t xml:space="preserve">. </w:t>
      </w:r>
      <w:r w:rsidRPr="003C041B">
        <w:t>Opinion on an Annex XV dossier proposing restrictions on Terphenyl, hydrogenated</w:t>
      </w:r>
      <w:r>
        <w:t xml:space="preserve">. </w:t>
      </w:r>
      <w:r w:rsidRPr="008C6591">
        <w:rPr>
          <w:lang w:val="en-IE"/>
        </w:rPr>
        <w:t xml:space="preserve">9 June </w:t>
      </w:r>
      <w:r>
        <w:rPr>
          <w:lang w:val="en-IE"/>
        </w:rPr>
        <w:t xml:space="preserve">2023. </w:t>
      </w:r>
      <w:r w:rsidRPr="008C6591">
        <w:rPr>
          <w:lang w:val="en-IE"/>
        </w:rPr>
        <w:t xml:space="preserve">  </w:t>
      </w:r>
      <w:hyperlink r:id="rId8" w:history="1">
        <w:r w:rsidRPr="005A0214">
          <w:rPr>
            <w:rStyle w:val="Hyperlink"/>
            <w:lang w:val="en-IE"/>
          </w:rPr>
          <w:t>https://echa.europa.eu/documents/10162/d2bd9817-102b-f9b3-8023-a913678e849f</w:t>
        </w:r>
      </w:hyperlink>
      <w:r>
        <w:rPr>
          <w:lang w:val="en-IE"/>
        </w:rPr>
        <w:t xml:space="preserve"> </w:t>
      </w:r>
    </w:p>
  </w:footnote>
  <w:footnote w:id="10">
    <w:p w14:paraId="56DB8AA4" w14:textId="77777777" w:rsidR="00A4768A" w:rsidRPr="007772C4" w:rsidRDefault="00A4768A" w:rsidP="00A4768A">
      <w:pPr>
        <w:pStyle w:val="Funotentext"/>
        <w:rPr>
          <w:lang w:val="en-IE"/>
        </w:rPr>
      </w:pPr>
      <w:r w:rsidRPr="00B116AF">
        <w:rPr>
          <w:rStyle w:val="Funotenzeichen"/>
        </w:rPr>
        <w:footnoteRef/>
      </w:r>
      <w:r>
        <w:tab/>
      </w:r>
      <w:r w:rsidRPr="003410D5">
        <w:t>Committee for Risk Assessment (RAC)</w:t>
      </w:r>
      <w:r>
        <w:t xml:space="preserve">, </w:t>
      </w:r>
      <w:r w:rsidRPr="003410D5">
        <w:t>Committee for Socio-economic Analysis (SEAC</w:t>
      </w:r>
      <w:r>
        <w:t>).</w:t>
      </w:r>
      <w:r w:rsidRPr="003410D5">
        <w:t xml:space="preserve"> Opinion on </w:t>
      </w:r>
      <w:r>
        <w:t>an</w:t>
      </w:r>
      <w:r w:rsidRPr="003410D5">
        <w:t xml:space="preserve"> Annex XV dossier proposing restrictions on</w:t>
      </w:r>
      <w:r>
        <w:t xml:space="preserve"> </w:t>
      </w:r>
      <w:r w:rsidRPr="003410D5">
        <w:t>Terphenyl, hydrogenated</w:t>
      </w:r>
      <w:r>
        <w:t xml:space="preserve">. </w:t>
      </w:r>
      <w:r w:rsidRPr="003410D5">
        <w:rPr>
          <w:lang w:val="en-IE"/>
        </w:rPr>
        <w:t>(</w:t>
      </w:r>
      <w:r>
        <w:rPr>
          <w:lang w:val="en-IE"/>
        </w:rPr>
        <w:t xml:space="preserve">9 June 2023) </w:t>
      </w:r>
      <w:hyperlink r:id="rId9" w:history="1">
        <w:r w:rsidRPr="00477F47">
          <w:rPr>
            <w:rStyle w:val="Hyperlink"/>
            <w:bdr w:val="none" w:sz="0" w:space="0" w:color="auto" w:frame="1"/>
          </w:rPr>
          <w:t>https://echa.europa.eu/documents/10162/d2bd9817-102b-f9b3-8023-a913678e849f</w:t>
        </w:r>
      </w:hyperlink>
      <w:r>
        <w:rPr>
          <w:rStyle w:val="normaltextrun"/>
          <w:color w:val="000000"/>
          <w:bdr w:val="none" w:sz="0" w:space="0" w:color="auto" w:frame="1"/>
        </w:rPr>
        <w:t xml:space="preserve"> </w:t>
      </w:r>
    </w:p>
  </w:footnote>
  <w:footnote w:id="11">
    <w:p w14:paraId="3F628D9F" w14:textId="77777777" w:rsidR="00A4768A" w:rsidRDefault="00A4768A" w:rsidP="00A4768A">
      <w:pPr>
        <w:spacing w:before="0" w:after="0"/>
        <w:ind w:left="720" w:hanging="720"/>
      </w:pPr>
      <w:r w:rsidRPr="00FC1EB1">
        <w:rPr>
          <w:rStyle w:val="Funotenzeichen"/>
        </w:rPr>
        <w:footnoteRef/>
      </w:r>
      <w:r>
        <w:tab/>
      </w:r>
      <w:r w:rsidRPr="008747F2">
        <w:rPr>
          <w:sz w:val="20"/>
          <w:szCs w:val="20"/>
        </w:rPr>
        <w:t xml:space="preserve">European Commission. White Paper for European Defence – Readiness 2030. </w:t>
      </w:r>
      <w:hyperlink r:id="rId10" w:history="1">
        <w:r w:rsidRPr="006E4964">
          <w:rPr>
            <w:rStyle w:val="Hyperlink"/>
            <w:sz w:val="20"/>
            <w:szCs w:val="20"/>
          </w:rPr>
          <w:t>https://commission.europa.eu/document/download/e6d5db69-e0ab-4bec-9dc0-3867b4373019_en?filename=White%20paper%20for%20European%20defence%20–%20Readiness%202030.pdf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0A648" w14:textId="77777777" w:rsidR="00B80157" w:rsidRDefault="00B8015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96FA6" w14:textId="77777777" w:rsidR="00B80157" w:rsidRDefault="00B8015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AD66ABE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1D14DC10"/>
    <w:lvl w:ilvl="0">
      <w:start w:val="1"/>
      <w:numFmt w:val="bullet"/>
      <w:pStyle w:val="Aufzhlungszeichen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2783DC8"/>
    <w:lvl w:ilvl="0">
      <w:start w:val="1"/>
      <w:numFmt w:val="bullet"/>
      <w:pStyle w:val="Aufzhlungszeiche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0FE29402"/>
    <w:lvl w:ilvl="0">
      <w:start w:val="1"/>
      <w:numFmt w:val="bullet"/>
      <w:pStyle w:val="Aufzhlungszeichen"/>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berschrift1"/>
      <w:lvlText w:val="%1."/>
      <w:lvlJc w:val="left"/>
      <w:pPr>
        <w:tabs>
          <w:tab w:val="num" w:pos="850"/>
        </w:tabs>
        <w:ind w:left="850" w:hanging="850"/>
      </w:pPr>
    </w:lvl>
    <w:lvl w:ilvl="1">
      <w:start w:val="1"/>
      <w:numFmt w:val="decimal"/>
      <w:pStyle w:val="berschrift2"/>
      <w:lvlText w:val="%1.%2."/>
      <w:lvlJc w:val="left"/>
      <w:pPr>
        <w:tabs>
          <w:tab w:val="num" w:pos="850"/>
        </w:tabs>
        <w:ind w:left="850" w:hanging="850"/>
      </w:pPr>
    </w:lvl>
    <w:lvl w:ilvl="2">
      <w:start w:val="1"/>
      <w:numFmt w:val="decimal"/>
      <w:pStyle w:val="berschrift3"/>
      <w:lvlText w:val="%1.%2.%3."/>
      <w:lvlJc w:val="left"/>
      <w:pPr>
        <w:tabs>
          <w:tab w:val="num" w:pos="850"/>
        </w:tabs>
        <w:ind w:left="850" w:hanging="850"/>
      </w:pPr>
    </w:lvl>
    <w:lvl w:ilvl="3">
      <w:start w:val="1"/>
      <w:numFmt w:val="decimal"/>
      <w:pStyle w:val="berschrift4"/>
      <w:lvlText w:val="%1.%2.%3.%4."/>
      <w:lvlJc w:val="left"/>
      <w:pPr>
        <w:tabs>
          <w:tab w:val="num" w:pos="850"/>
        </w:tabs>
        <w:ind w:left="850" w:hanging="850"/>
      </w:pPr>
    </w:lvl>
    <w:lvl w:ilvl="4">
      <w:start w:val="1"/>
      <w:numFmt w:val="decimal"/>
      <w:pStyle w:val="berschrift5"/>
      <w:lvlText w:val="%1.%2.%3.%4.%5."/>
      <w:lvlJc w:val="left"/>
      <w:pPr>
        <w:tabs>
          <w:tab w:val="num" w:pos="1417"/>
        </w:tabs>
        <w:ind w:left="1417" w:hanging="1417"/>
      </w:pPr>
    </w:lvl>
    <w:lvl w:ilvl="5">
      <w:start w:val="1"/>
      <w:numFmt w:val="decimal"/>
      <w:pStyle w:val="berschrift6"/>
      <w:lvlText w:val="%1.%2.%3.%4.%5.%6."/>
      <w:lvlJc w:val="left"/>
      <w:pPr>
        <w:tabs>
          <w:tab w:val="num" w:pos="1417"/>
        </w:tabs>
        <w:ind w:left="1417" w:hanging="1417"/>
      </w:pPr>
    </w:lvl>
    <w:lvl w:ilvl="6">
      <w:start w:val="1"/>
      <w:numFmt w:val="decimal"/>
      <w:pStyle w:val="berschrift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814106160">
    <w:abstractNumId w:val="18"/>
    <w:lvlOverride w:ilvl="0">
      <w:startOverride w:val="1"/>
    </w:lvlOverride>
  </w:num>
  <w:num w:numId="2" w16cid:durableId="568078959">
    <w:abstractNumId w:val="3"/>
  </w:num>
  <w:num w:numId="3" w16cid:durableId="1594507186">
    <w:abstractNumId w:val="2"/>
  </w:num>
  <w:num w:numId="4" w16cid:durableId="37825839">
    <w:abstractNumId w:val="1"/>
  </w:num>
  <w:num w:numId="5" w16cid:durableId="1907642952">
    <w:abstractNumId w:val="0"/>
  </w:num>
  <w:num w:numId="6" w16cid:durableId="2089693441">
    <w:abstractNumId w:val="15"/>
  </w:num>
  <w:num w:numId="7" w16cid:durableId="1693998065">
    <w:abstractNumId w:val="8"/>
  </w:num>
  <w:num w:numId="8" w16cid:durableId="788817884">
    <w:abstractNumId w:val="17"/>
  </w:num>
  <w:num w:numId="9" w16cid:durableId="1535464848">
    <w:abstractNumId w:val="7"/>
  </w:num>
  <w:num w:numId="10" w16cid:durableId="639657071">
    <w:abstractNumId w:val="9"/>
  </w:num>
  <w:num w:numId="11" w16cid:durableId="361050661">
    <w:abstractNumId w:val="10"/>
  </w:num>
  <w:num w:numId="12" w16cid:durableId="472790552">
    <w:abstractNumId w:val="5"/>
  </w:num>
  <w:num w:numId="13" w16cid:durableId="384646725">
    <w:abstractNumId w:val="16"/>
  </w:num>
  <w:num w:numId="14" w16cid:durableId="2031682509">
    <w:abstractNumId w:val="4"/>
  </w:num>
  <w:num w:numId="15" w16cid:durableId="150604668">
    <w:abstractNumId w:val="11"/>
  </w:num>
  <w:num w:numId="16" w16cid:durableId="472332852">
    <w:abstractNumId w:val="13"/>
  </w:num>
  <w:num w:numId="17" w16cid:durableId="1298296966">
    <w:abstractNumId w:val="14"/>
  </w:num>
  <w:num w:numId="18" w16cid:durableId="1306230484">
    <w:abstractNumId w:val="6"/>
  </w:num>
  <w:num w:numId="19" w16cid:durableId="24066917">
    <w:abstractNumId w:val="12"/>
  </w:num>
  <w:num w:numId="20" w16cid:durableId="485436588">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_RefLast" w:val="0"/>
    <w:docVar w:name="DQCDateTime" w:val="2026-04-16 12:57:3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E5B18E15-BD29-42B5-81B7-EEEDB2F01105"/>
    <w:docVar w:name="LW_COVERPAGE_TYPE" w:val="1"/>
    <w:docVar w:name="LW_CreatedUtc" w:val="2026-01-21T13:54:43.4922560Z"/>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01"/>
    <w:docVar w:name="LW_ID_DOCSIGNATURE" w:val="SJ-001"/>
    <w:docVar w:name="LW_ID_DOCSTRUCTURE" w:val="COM/AA"/>
    <w:docVar w:name="LW_ID_DOCTYPE" w:val="SJ-001"/>
    <w:docVar w:name="LW_INTERETEEE.CP" w:val="(Text with EEA relevance)"/>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26) XXX"/>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mending Annex XVII to Regulation (EC) No 1907/2006 of the European Parliament and of the Council as regards terphenyl, hydrogenated as a substance, a constituent of other substances, in mixtures and in articles"/>
    <w:docVar w:name="LW_TYPE.DOC.CP" w:val="COMMISSION REGULATION (EU) \u8230?/\u8230?"/>
  </w:docVars>
  <w:rsids>
    <w:rsidRoot w:val="00A4768A"/>
    <w:rsid w:val="00014E5E"/>
    <w:rsid w:val="0001619A"/>
    <w:rsid w:val="00024B71"/>
    <w:rsid w:val="00027CC5"/>
    <w:rsid w:val="0003070A"/>
    <w:rsid w:val="0003503C"/>
    <w:rsid w:val="000427FA"/>
    <w:rsid w:val="00045368"/>
    <w:rsid w:val="000460C2"/>
    <w:rsid w:val="000671CD"/>
    <w:rsid w:val="00077174"/>
    <w:rsid w:val="0008106D"/>
    <w:rsid w:val="0008211B"/>
    <w:rsid w:val="0008383B"/>
    <w:rsid w:val="00091162"/>
    <w:rsid w:val="00091942"/>
    <w:rsid w:val="0009564B"/>
    <w:rsid w:val="00096625"/>
    <w:rsid w:val="000A185B"/>
    <w:rsid w:val="000B59DB"/>
    <w:rsid w:val="000B6CC8"/>
    <w:rsid w:val="000C3CA2"/>
    <w:rsid w:val="000C432D"/>
    <w:rsid w:val="000D1AED"/>
    <w:rsid w:val="000D6677"/>
    <w:rsid w:val="000D7D42"/>
    <w:rsid w:val="000E0711"/>
    <w:rsid w:val="000E1DEB"/>
    <w:rsid w:val="001059B0"/>
    <w:rsid w:val="001065F5"/>
    <w:rsid w:val="001132FD"/>
    <w:rsid w:val="001238EF"/>
    <w:rsid w:val="00123BA9"/>
    <w:rsid w:val="00130B18"/>
    <w:rsid w:val="001320AF"/>
    <w:rsid w:val="00133854"/>
    <w:rsid w:val="001368EF"/>
    <w:rsid w:val="00142950"/>
    <w:rsid w:val="001475A4"/>
    <w:rsid w:val="0015668B"/>
    <w:rsid w:val="00156EF0"/>
    <w:rsid w:val="0017259A"/>
    <w:rsid w:val="0017455F"/>
    <w:rsid w:val="00176090"/>
    <w:rsid w:val="00176225"/>
    <w:rsid w:val="001763D2"/>
    <w:rsid w:val="00183172"/>
    <w:rsid w:val="00183D94"/>
    <w:rsid w:val="00187E86"/>
    <w:rsid w:val="001945A6"/>
    <w:rsid w:val="001974BE"/>
    <w:rsid w:val="00197613"/>
    <w:rsid w:val="001A0672"/>
    <w:rsid w:val="001A150F"/>
    <w:rsid w:val="001A26F2"/>
    <w:rsid w:val="001A29D6"/>
    <w:rsid w:val="001A3B5A"/>
    <w:rsid w:val="001A6C6F"/>
    <w:rsid w:val="001B634D"/>
    <w:rsid w:val="001B6397"/>
    <w:rsid w:val="001B6B17"/>
    <w:rsid w:val="001C165F"/>
    <w:rsid w:val="001C22C9"/>
    <w:rsid w:val="001C2F14"/>
    <w:rsid w:val="001D061E"/>
    <w:rsid w:val="001E33C1"/>
    <w:rsid w:val="001E4BF1"/>
    <w:rsid w:val="001E6AE3"/>
    <w:rsid w:val="001E7DE0"/>
    <w:rsid w:val="001F1F36"/>
    <w:rsid w:val="001F26CA"/>
    <w:rsid w:val="001F72A6"/>
    <w:rsid w:val="00200FA6"/>
    <w:rsid w:val="00202EF0"/>
    <w:rsid w:val="00232BDC"/>
    <w:rsid w:val="00232EF9"/>
    <w:rsid w:val="00233DC7"/>
    <w:rsid w:val="00247779"/>
    <w:rsid w:val="00262B7A"/>
    <w:rsid w:val="0026427B"/>
    <w:rsid w:val="00267823"/>
    <w:rsid w:val="0028223D"/>
    <w:rsid w:val="00285BEE"/>
    <w:rsid w:val="0028738B"/>
    <w:rsid w:val="002913D4"/>
    <w:rsid w:val="0029300F"/>
    <w:rsid w:val="0029533F"/>
    <w:rsid w:val="002B30AF"/>
    <w:rsid w:val="002B4F0B"/>
    <w:rsid w:val="002D4349"/>
    <w:rsid w:val="002E51AA"/>
    <w:rsid w:val="002E7AC5"/>
    <w:rsid w:val="002F6E18"/>
    <w:rsid w:val="002F7C13"/>
    <w:rsid w:val="00301056"/>
    <w:rsid w:val="00306D85"/>
    <w:rsid w:val="00307442"/>
    <w:rsid w:val="00314718"/>
    <w:rsid w:val="00320B0A"/>
    <w:rsid w:val="003213FB"/>
    <w:rsid w:val="00322A70"/>
    <w:rsid w:val="00325A34"/>
    <w:rsid w:val="003268F9"/>
    <w:rsid w:val="0033344A"/>
    <w:rsid w:val="0033510D"/>
    <w:rsid w:val="00337DD2"/>
    <w:rsid w:val="003516F2"/>
    <w:rsid w:val="00364F6F"/>
    <w:rsid w:val="00377D87"/>
    <w:rsid w:val="00393A64"/>
    <w:rsid w:val="00394A1A"/>
    <w:rsid w:val="003B2D70"/>
    <w:rsid w:val="003C0ADD"/>
    <w:rsid w:val="003D2F31"/>
    <w:rsid w:val="003E201F"/>
    <w:rsid w:val="003E572E"/>
    <w:rsid w:val="003E60BB"/>
    <w:rsid w:val="003F2049"/>
    <w:rsid w:val="0042079B"/>
    <w:rsid w:val="00424F80"/>
    <w:rsid w:val="0042648E"/>
    <w:rsid w:val="00434EAB"/>
    <w:rsid w:val="00436638"/>
    <w:rsid w:val="004402CB"/>
    <w:rsid w:val="004412F4"/>
    <w:rsid w:val="004503B4"/>
    <w:rsid w:val="00456C4A"/>
    <w:rsid w:val="00457E64"/>
    <w:rsid w:val="0046238E"/>
    <w:rsid w:val="00462787"/>
    <w:rsid w:val="00472F1F"/>
    <w:rsid w:val="00472FBD"/>
    <w:rsid w:val="00474DE0"/>
    <w:rsid w:val="004936D2"/>
    <w:rsid w:val="004C7340"/>
    <w:rsid w:val="004D0995"/>
    <w:rsid w:val="004F06F4"/>
    <w:rsid w:val="00501D93"/>
    <w:rsid w:val="0052414C"/>
    <w:rsid w:val="0052498C"/>
    <w:rsid w:val="00551AD4"/>
    <w:rsid w:val="005525D0"/>
    <w:rsid w:val="005656BB"/>
    <w:rsid w:val="005729F0"/>
    <w:rsid w:val="005738BA"/>
    <w:rsid w:val="005750E9"/>
    <w:rsid w:val="005819D7"/>
    <w:rsid w:val="0058260D"/>
    <w:rsid w:val="00582DB7"/>
    <w:rsid w:val="005A7400"/>
    <w:rsid w:val="005B015C"/>
    <w:rsid w:val="005B1DA0"/>
    <w:rsid w:val="005B1EB6"/>
    <w:rsid w:val="005B215F"/>
    <w:rsid w:val="005B4B88"/>
    <w:rsid w:val="005C5797"/>
    <w:rsid w:val="005C6230"/>
    <w:rsid w:val="005D1F90"/>
    <w:rsid w:val="005D24EB"/>
    <w:rsid w:val="005D4A84"/>
    <w:rsid w:val="005E58D5"/>
    <w:rsid w:val="005F27BB"/>
    <w:rsid w:val="005F2EF6"/>
    <w:rsid w:val="005F49D2"/>
    <w:rsid w:val="005F7DE2"/>
    <w:rsid w:val="005F7F49"/>
    <w:rsid w:val="00607112"/>
    <w:rsid w:val="00611343"/>
    <w:rsid w:val="00625323"/>
    <w:rsid w:val="00625626"/>
    <w:rsid w:val="0063639E"/>
    <w:rsid w:val="00643EE0"/>
    <w:rsid w:val="00654EAA"/>
    <w:rsid w:val="006564D2"/>
    <w:rsid w:val="00666FCC"/>
    <w:rsid w:val="006734DA"/>
    <w:rsid w:val="00680809"/>
    <w:rsid w:val="00684006"/>
    <w:rsid w:val="00687161"/>
    <w:rsid w:val="006A0D4E"/>
    <w:rsid w:val="006A1486"/>
    <w:rsid w:val="006B109E"/>
    <w:rsid w:val="006B58B4"/>
    <w:rsid w:val="006B62D7"/>
    <w:rsid w:val="006C183C"/>
    <w:rsid w:val="006C18E3"/>
    <w:rsid w:val="006C57BE"/>
    <w:rsid w:val="006D7D75"/>
    <w:rsid w:val="006F5DBC"/>
    <w:rsid w:val="00700966"/>
    <w:rsid w:val="0071087E"/>
    <w:rsid w:val="007166F5"/>
    <w:rsid w:val="0073291C"/>
    <w:rsid w:val="00751F14"/>
    <w:rsid w:val="007575B4"/>
    <w:rsid w:val="007638F6"/>
    <w:rsid w:val="00773331"/>
    <w:rsid w:val="00775793"/>
    <w:rsid w:val="0078286A"/>
    <w:rsid w:val="00782B67"/>
    <w:rsid w:val="00782E33"/>
    <w:rsid w:val="00784D89"/>
    <w:rsid w:val="00787649"/>
    <w:rsid w:val="007932EF"/>
    <w:rsid w:val="00797ECC"/>
    <w:rsid w:val="007A024C"/>
    <w:rsid w:val="007A0CF4"/>
    <w:rsid w:val="007A1C06"/>
    <w:rsid w:val="007A2DF2"/>
    <w:rsid w:val="007B53BC"/>
    <w:rsid w:val="007B7223"/>
    <w:rsid w:val="007C0FB2"/>
    <w:rsid w:val="007C7533"/>
    <w:rsid w:val="007E05B0"/>
    <w:rsid w:val="007E0606"/>
    <w:rsid w:val="007E1496"/>
    <w:rsid w:val="007E5ADF"/>
    <w:rsid w:val="007F6D76"/>
    <w:rsid w:val="008064F3"/>
    <w:rsid w:val="00810CA6"/>
    <w:rsid w:val="008141D2"/>
    <w:rsid w:val="00814BA1"/>
    <w:rsid w:val="00824740"/>
    <w:rsid w:val="008265B9"/>
    <w:rsid w:val="00843F3C"/>
    <w:rsid w:val="008502CE"/>
    <w:rsid w:val="008611BC"/>
    <w:rsid w:val="008674C3"/>
    <w:rsid w:val="00874D22"/>
    <w:rsid w:val="00882AB4"/>
    <w:rsid w:val="0088551B"/>
    <w:rsid w:val="00885657"/>
    <w:rsid w:val="008A2914"/>
    <w:rsid w:val="008A4BA7"/>
    <w:rsid w:val="008B10D4"/>
    <w:rsid w:val="008B4311"/>
    <w:rsid w:val="008B6BE3"/>
    <w:rsid w:val="008C66B1"/>
    <w:rsid w:val="008D26B0"/>
    <w:rsid w:val="008D2DDC"/>
    <w:rsid w:val="008E16F1"/>
    <w:rsid w:val="008E1A12"/>
    <w:rsid w:val="008E4D8E"/>
    <w:rsid w:val="008E73D9"/>
    <w:rsid w:val="00901F69"/>
    <w:rsid w:val="00902AA3"/>
    <w:rsid w:val="00910804"/>
    <w:rsid w:val="00914966"/>
    <w:rsid w:val="009219BF"/>
    <w:rsid w:val="00923FFB"/>
    <w:rsid w:val="00930CF4"/>
    <w:rsid w:val="00936FBD"/>
    <w:rsid w:val="00942D13"/>
    <w:rsid w:val="00943E91"/>
    <w:rsid w:val="00952DEB"/>
    <w:rsid w:val="00963963"/>
    <w:rsid w:val="00977CA8"/>
    <w:rsid w:val="009823FA"/>
    <w:rsid w:val="009856FA"/>
    <w:rsid w:val="009903C7"/>
    <w:rsid w:val="00991AC4"/>
    <w:rsid w:val="00991CD7"/>
    <w:rsid w:val="00992D99"/>
    <w:rsid w:val="00995FA3"/>
    <w:rsid w:val="009A0EF0"/>
    <w:rsid w:val="009A176D"/>
    <w:rsid w:val="009A1844"/>
    <w:rsid w:val="009A2C6C"/>
    <w:rsid w:val="009A6B09"/>
    <w:rsid w:val="009B1BB6"/>
    <w:rsid w:val="009B2C15"/>
    <w:rsid w:val="009B3028"/>
    <w:rsid w:val="009C2BCD"/>
    <w:rsid w:val="009C2CC9"/>
    <w:rsid w:val="009C430B"/>
    <w:rsid w:val="009C5B05"/>
    <w:rsid w:val="009C724F"/>
    <w:rsid w:val="009D5935"/>
    <w:rsid w:val="009D65D1"/>
    <w:rsid w:val="009E35ED"/>
    <w:rsid w:val="009E4BD6"/>
    <w:rsid w:val="009F3287"/>
    <w:rsid w:val="009F3A29"/>
    <w:rsid w:val="009F50CA"/>
    <w:rsid w:val="00A01A32"/>
    <w:rsid w:val="00A0428C"/>
    <w:rsid w:val="00A0690B"/>
    <w:rsid w:val="00A20CA5"/>
    <w:rsid w:val="00A20F24"/>
    <w:rsid w:val="00A21D26"/>
    <w:rsid w:val="00A2326A"/>
    <w:rsid w:val="00A32661"/>
    <w:rsid w:val="00A4037E"/>
    <w:rsid w:val="00A4768A"/>
    <w:rsid w:val="00A51E1C"/>
    <w:rsid w:val="00A52EC7"/>
    <w:rsid w:val="00A611DA"/>
    <w:rsid w:val="00A63069"/>
    <w:rsid w:val="00A64266"/>
    <w:rsid w:val="00A72CC0"/>
    <w:rsid w:val="00A821A8"/>
    <w:rsid w:val="00A83DC2"/>
    <w:rsid w:val="00A934E5"/>
    <w:rsid w:val="00A97819"/>
    <w:rsid w:val="00AA015D"/>
    <w:rsid w:val="00AA44E4"/>
    <w:rsid w:val="00AA45EE"/>
    <w:rsid w:val="00AA4DDC"/>
    <w:rsid w:val="00AB2A89"/>
    <w:rsid w:val="00AB425F"/>
    <w:rsid w:val="00AC6708"/>
    <w:rsid w:val="00AC6D90"/>
    <w:rsid w:val="00AD22C6"/>
    <w:rsid w:val="00AE09DF"/>
    <w:rsid w:val="00AE57B4"/>
    <w:rsid w:val="00AE7409"/>
    <w:rsid w:val="00B04798"/>
    <w:rsid w:val="00B0481A"/>
    <w:rsid w:val="00B105E7"/>
    <w:rsid w:val="00B10FF4"/>
    <w:rsid w:val="00B34181"/>
    <w:rsid w:val="00B45A0C"/>
    <w:rsid w:val="00B54E0E"/>
    <w:rsid w:val="00B623E0"/>
    <w:rsid w:val="00B640CC"/>
    <w:rsid w:val="00B641C8"/>
    <w:rsid w:val="00B6461B"/>
    <w:rsid w:val="00B65819"/>
    <w:rsid w:val="00B71CA7"/>
    <w:rsid w:val="00B80157"/>
    <w:rsid w:val="00B840E3"/>
    <w:rsid w:val="00B84C95"/>
    <w:rsid w:val="00B85317"/>
    <w:rsid w:val="00B92FE4"/>
    <w:rsid w:val="00B97AC5"/>
    <w:rsid w:val="00BA4C7B"/>
    <w:rsid w:val="00BC1949"/>
    <w:rsid w:val="00BC1D19"/>
    <w:rsid w:val="00BC5FBF"/>
    <w:rsid w:val="00BD13A9"/>
    <w:rsid w:val="00BD6978"/>
    <w:rsid w:val="00BE3EAC"/>
    <w:rsid w:val="00C0101C"/>
    <w:rsid w:val="00C06A6B"/>
    <w:rsid w:val="00C10BCC"/>
    <w:rsid w:val="00C12301"/>
    <w:rsid w:val="00C23204"/>
    <w:rsid w:val="00C24759"/>
    <w:rsid w:val="00C4014C"/>
    <w:rsid w:val="00C41E94"/>
    <w:rsid w:val="00C42C80"/>
    <w:rsid w:val="00C51275"/>
    <w:rsid w:val="00C77B0B"/>
    <w:rsid w:val="00C93A5D"/>
    <w:rsid w:val="00CA7B5A"/>
    <w:rsid w:val="00CB2188"/>
    <w:rsid w:val="00CC76AB"/>
    <w:rsid w:val="00CD04EF"/>
    <w:rsid w:val="00CE03D5"/>
    <w:rsid w:val="00CE089A"/>
    <w:rsid w:val="00CE51F8"/>
    <w:rsid w:val="00CF22CF"/>
    <w:rsid w:val="00CF5652"/>
    <w:rsid w:val="00D0130F"/>
    <w:rsid w:val="00D17B2E"/>
    <w:rsid w:val="00D20381"/>
    <w:rsid w:val="00D318B7"/>
    <w:rsid w:val="00D3209A"/>
    <w:rsid w:val="00D51FF5"/>
    <w:rsid w:val="00D5441F"/>
    <w:rsid w:val="00D60CE4"/>
    <w:rsid w:val="00D60E7A"/>
    <w:rsid w:val="00D848AA"/>
    <w:rsid w:val="00D87723"/>
    <w:rsid w:val="00DD3B73"/>
    <w:rsid w:val="00DD6126"/>
    <w:rsid w:val="00DD7CC4"/>
    <w:rsid w:val="00DE0CCF"/>
    <w:rsid w:val="00DE557A"/>
    <w:rsid w:val="00DE7DCB"/>
    <w:rsid w:val="00DF1BD1"/>
    <w:rsid w:val="00E032C0"/>
    <w:rsid w:val="00E170D9"/>
    <w:rsid w:val="00E207D5"/>
    <w:rsid w:val="00E36D33"/>
    <w:rsid w:val="00E378A1"/>
    <w:rsid w:val="00E664ED"/>
    <w:rsid w:val="00E73FC8"/>
    <w:rsid w:val="00E8306D"/>
    <w:rsid w:val="00E8715B"/>
    <w:rsid w:val="00E9369D"/>
    <w:rsid w:val="00EA3FAD"/>
    <w:rsid w:val="00EA504C"/>
    <w:rsid w:val="00EA5456"/>
    <w:rsid w:val="00EB1E23"/>
    <w:rsid w:val="00EC1A59"/>
    <w:rsid w:val="00EC2018"/>
    <w:rsid w:val="00EC2C54"/>
    <w:rsid w:val="00ED707A"/>
    <w:rsid w:val="00EE0D42"/>
    <w:rsid w:val="00EF02A5"/>
    <w:rsid w:val="00F06B33"/>
    <w:rsid w:val="00F204EA"/>
    <w:rsid w:val="00F264B2"/>
    <w:rsid w:val="00F370CB"/>
    <w:rsid w:val="00F51ECA"/>
    <w:rsid w:val="00F52C11"/>
    <w:rsid w:val="00F54205"/>
    <w:rsid w:val="00F5455D"/>
    <w:rsid w:val="00F56190"/>
    <w:rsid w:val="00F66079"/>
    <w:rsid w:val="00F6709A"/>
    <w:rsid w:val="00F7457C"/>
    <w:rsid w:val="00F83E89"/>
    <w:rsid w:val="00F869C7"/>
    <w:rsid w:val="00F9268C"/>
    <w:rsid w:val="00F95E5E"/>
    <w:rsid w:val="00F96ABD"/>
    <w:rsid w:val="00FA23B2"/>
    <w:rsid w:val="00FC200A"/>
    <w:rsid w:val="00FC38F8"/>
    <w:rsid w:val="00FE2621"/>
    <w:rsid w:val="00FE3B3C"/>
    <w:rsid w:val="00FE6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300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20" w:after="120" w:line="240" w:lineRule="auto"/>
      <w:jc w:val="both"/>
    </w:pPr>
    <w:rPr>
      <w:rFonts w:ascii="Times New Roman" w:hAnsi="Times New Roman" w:cs="Times New Roman"/>
      <w:sz w:val="24"/>
      <w:lang w:val="en-GB"/>
    </w:rPr>
  </w:style>
  <w:style w:type="paragraph" w:styleId="berschrift1">
    <w:name w:val="heading 1"/>
    <w:basedOn w:val="Standard"/>
    <w:next w:val="Text1"/>
    <w:link w:val="berschrift1Zchn"/>
    <w:uiPriority w:val="9"/>
    <w:qFormat/>
    <w:pPr>
      <w:keepNext/>
      <w:numPr>
        <w:numId w:val="13"/>
      </w:numPr>
      <w:spacing w:before="360"/>
      <w:outlineLvl w:val="0"/>
    </w:pPr>
    <w:rPr>
      <w:rFonts w:eastAsiaTheme="majorEastAsia"/>
      <w:b/>
      <w:bCs/>
      <w:smallCaps/>
      <w:szCs w:val="28"/>
    </w:rPr>
  </w:style>
  <w:style w:type="paragraph" w:styleId="berschrift2">
    <w:name w:val="heading 2"/>
    <w:basedOn w:val="Standard"/>
    <w:next w:val="Text1"/>
    <w:link w:val="berschrift2Zchn"/>
    <w:uiPriority w:val="9"/>
    <w:semiHidden/>
    <w:unhideWhenUsed/>
    <w:qFormat/>
    <w:pPr>
      <w:keepNext/>
      <w:numPr>
        <w:ilvl w:val="1"/>
        <w:numId w:val="13"/>
      </w:numPr>
      <w:outlineLvl w:val="1"/>
    </w:pPr>
    <w:rPr>
      <w:rFonts w:eastAsiaTheme="majorEastAsia"/>
      <w:b/>
      <w:bCs/>
      <w:szCs w:val="26"/>
    </w:rPr>
  </w:style>
  <w:style w:type="paragraph" w:styleId="berschrift3">
    <w:name w:val="heading 3"/>
    <w:basedOn w:val="Standard"/>
    <w:next w:val="Text1"/>
    <w:link w:val="berschrift3Zchn"/>
    <w:uiPriority w:val="9"/>
    <w:semiHidden/>
    <w:unhideWhenUsed/>
    <w:qFormat/>
    <w:pPr>
      <w:keepNext/>
      <w:numPr>
        <w:ilvl w:val="2"/>
        <w:numId w:val="13"/>
      </w:numPr>
      <w:outlineLvl w:val="2"/>
    </w:pPr>
    <w:rPr>
      <w:rFonts w:eastAsiaTheme="majorEastAsia"/>
      <w:bCs/>
      <w:i/>
    </w:rPr>
  </w:style>
  <w:style w:type="paragraph" w:styleId="berschrift4">
    <w:name w:val="heading 4"/>
    <w:basedOn w:val="Standard"/>
    <w:next w:val="Text1"/>
    <w:link w:val="berschrift4Zchn"/>
    <w:uiPriority w:val="9"/>
    <w:semiHidden/>
    <w:unhideWhenUsed/>
    <w:qFormat/>
    <w:pPr>
      <w:keepNext/>
      <w:numPr>
        <w:ilvl w:val="3"/>
        <w:numId w:val="13"/>
      </w:numPr>
      <w:outlineLvl w:val="3"/>
    </w:pPr>
    <w:rPr>
      <w:rFonts w:eastAsiaTheme="majorEastAsia"/>
      <w:bCs/>
      <w:iCs/>
    </w:rPr>
  </w:style>
  <w:style w:type="paragraph" w:styleId="berschrift5">
    <w:name w:val="heading 5"/>
    <w:basedOn w:val="Standard"/>
    <w:next w:val="Text2"/>
    <w:link w:val="berschrift5Zchn"/>
    <w:uiPriority w:val="9"/>
    <w:semiHidden/>
    <w:unhideWhenUsed/>
    <w:qFormat/>
    <w:pPr>
      <w:keepNext/>
      <w:numPr>
        <w:ilvl w:val="4"/>
        <w:numId w:val="13"/>
      </w:numPr>
      <w:outlineLvl w:val="4"/>
    </w:pPr>
    <w:rPr>
      <w:rFonts w:eastAsiaTheme="majorEastAsia"/>
    </w:rPr>
  </w:style>
  <w:style w:type="paragraph" w:styleId="berschrift6">
    <w:name w:val="heading 6"/>
    <w:basedOn w:val="Standard"/>
    <w:next w:val="Text2"/>
    <w:link w:val="berschrift6Zchn"/>
    <w:uiPriority w:val="9"/>
    <w:semiHidden/>
    <w:unhideWhenUsed/>
    <w:qFormat/>
    <w:pPr>
      <w:keepNext/>
      <w:numPr>
        <w:ilvl w:val="5"/>
        <w:numId w:val="13"/>
      </w:numPr>
      <w:outlineLvl w:val="5"/>
    </w:pPr>
    <w:rPr>
      <w:rFonts w:eastAsiaTheme="majorEastAsia"/>
      <w:iCs/>
    </w:rPr>
  </w:style>
  <w:style w:type="paragraph" w:styleId="berschrift7">
    <w:name w:val="heading 7"/>
    <w:basedOn w:val="Standard"/>
    <w:next w:val="Text2"/>
    <w:link w:val="berschrift7Zchn"/>
    <w:uiPriority w:val="9"/>
    <w:semiHidden/>
    <w:unhideWhenUsed/>
    <w:qFormat/>
    <w:pPr>
      <w:keepNext/>
      <w:numPr>
        <w:ilvl w:val="6"/>
        <w:numId w:val="13"/>
      </w:numPr>
      <w:outlineLvl w:val="6"/>
    </w:pPr>
    <w:rPr>
      <w:rFonts w:eastAsiaTheme="majorEastAsia"/>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ormaltextrun">
    <w:name w:val="normaltextrun"/>
    <w:basedOn w:val="Absatz-Standardschriftart"/>
    <w:rsid w:val="00A4768A"/>
  </w:style>
  <w:style w:type="character" w:customStyle="1" w:styleId="eop">
    <w:name w:val="eop"/>
    <w:basedOn w:val="Absatz-Standardschriftart"/>
    <w:rsid w:val="00A4768A"/>
  </w:style>
  <w:style w:type="character" w:styleId="Hyperlink">
    <w:name w:val="Hyperlink"/>
    <w:basedOn w:val="Absatz-Standardschriftart"/>
    <w:uiPriority w:val="99"/>
    <w:unhideWhenUsed/>
    <w:rsid w:val="00A4768A"/>
    <w:rPr>
      <w:color w:val="0000FF" w:themeColor="hyperlink"/>
      <w:u w:val="single"/>
    </w:rPr>
  </w:style>
  <w:style w:type="character" w:styleId="Kommentarzeichen">
    <w:name w:val="annotation reference"/>
    <w:basedOn w:val="Absatz-Standardschriftart"/>
    <w:uiPriority w:val="99"/>
    <w:semiHidden/>
    <w:unhideWhenUsed/>
    <w:rsid w:val="00A4768A"/>
    <w:rPr>
      <w:sz w:val="16"/>
      <w:szCs w:val="16"/>
    </w:rPr>
  </w:style>
  <w:style w:type="paragraph" w:styleId="berarbeitung">
    <w:name w:val="Revision"/>
    <w:hidden/>
    <w:uiPriority w:val="99"/>
    <w:semiHidden/>
    <w:rsid w:val="00123BA9"/>
    <w:pPr>
      <w:spacing w:after="0" w:line="240" w:lineRule="auto"/>
    </w:pPr>
    <w:rPr>
      <w:rFonts w:ascii="Times New Roman" w:hAnsi="Times New Roman" w:cs="Times New Roman"/>
      <w:sz w:val="24"/>
      <w:lang w:val="en-GB"/>
    </w:rPr>
  </w:style>
  <w:style w:type="paragraph" w:styleId="Kommentartext">
    <w:name w:val="annotation text"/>
    <w:basedOn w:val="Standard"/>
    <w:link w:val="KommentartextZchn"/>
    <w:uiPriority w:val="99"/>
    <w:unhideWhenUsed/>
    <w:rsid w:val="00666FCC"/>
    <w:rPr>
      <w:sz w:val="20"/>
      <w:szCs w:val="20"/>
    </w:rPr>
  </w:style>
  <w:style w:type="character" w:customStyle="1" w:styleId="KommentartextZchn">
    <w:name w:val="Kommentartext Zchn"/>
    <w:basedOn w:val="Absatz-Standardschriftart"/>
    <w:link w:val="Kommentartext"/>
    <w:uiPriority w:val="99"/>
    <w:rsid w:val="00666FCC"/>
    <w:rPr>
      <w:rFonts w:ascii="Times New Roman" w:hAnsi="Times New Roman" w:cs="Times New Roman"/>
      <w:sz w:val="20"/>
      <w:szCs w:val="20"/>
      <w:lang w:val="en-GB"/>
    </w:rPr>
  </w:style>
  <w:style w:type="paragraph" w:styleId="Kommentarthema">
    <w:name w:val="annotation subject"/>
    <w:basedOn w:val="Kommentartext"/>
    <w:next w:val="Kommentartext"/>
    <w:link w:val="KommentarthemaZchn"/>
    <w:uiPriority w:val="99"/>
    <w:semiHidden/>
    <w:unhideWhenUsed/>
    <w:rsid w:val="00666FCC"/>
    <w:rPr>
      <w:b/>
      <w:bCs/>
    </w:rPr>
  </w:style>
  <w:style w:type="character" w:customStyle="1" w:styleId="KommentarthemaZchn">
    <w:name w:val="Kommentarthema Zchn"/>
    <w:basedOn w:val="KommentartextZchn"/>
    <w:link w:val="Kommentarthema"/>
    <w:uiPriority w:val="99"/>
    <w:semiHidden/>
    <w:rsid w:val="00666FCC"/>
    <w:rPr>
      <w:rFonts w:ascii="Times New Roman" w:hAnsi="Times New Roman" w:cs="Times New Roman"/>
      <w:b/>
      <w:bCs/>
      <w:sz w:val="20"/>
      <w:szCs w:val="20"/>
      <w:lang w:val="en-GB"/>
    </w:rPr>
  </w:style>
  <w:style w:type="character" w:styleId="NichtaufgelsteErwhnung">
    <w:name w:val="Unresolved Mention"/>
    <w:basedOn w:val="Absatz-Standardschriftart"/>
    <w:uiPriority w:val="99"/>
    <w:semiHidden/>
    <w:unhideWhenUsed/>
    <w:rsid w:val="00A0428C"/>
    <w:rPr>
      <w:color w:val="605E5C"/>
      <w:shd w:val="clear" w:color="auto" w:fill="E1DFDD"/>
    </w:rPr>
  </w:style>
  <w:style w:type="paragraph" w:styleId="Aufzhlungszeichen">
    <w:name w:val="List Bullet"/>
    <w:basedOn w:val="Standard"/>
    <w:uiPriority w:val="99"/>
    <w:semiHidden/>
    <w:unhideWhenUsed/>
    <w:rsid w:val="00183D94"/>
    <w:pPr>
      <w:numPr>
        <w:numId w:val="2"/>
      </w:numPr>
      <w:contextualSpacing/>
    </w:pPr>
  </w:style>
  <w:style w:type="paragraph" w:styleId="Aufzhlungszeichen2">
    <w:name w:val="List Bullet 2"/>
    <w:basedOn w:val="Standard"/>
    <w:uiPriority w:val="99"/>
    <w:semiHidden/>
    <w:unhideWhenUsed/>
    <w:rsid w:val="00183D94"/>
    <w:pPr>
      <w:numPr>
        <w:numId w:val="3"/>
      </w:numPr>
      <w:contextualSpacing/>
    </w:pPr>
  </w:style>
  <w:style w:type="paragraph" w:styleId="Aufzhlungszeichen3">
    <w:name w:val="List Bullet 3"/>
    <w:basedOn w:val="Standard"/>
    <w:uiPriority w:val="99"/>
    <w:semiHidden/>
    <w:unhideWhenUsed/>
    <w:rsid w:val="00183D94"/>
    <w:pPr>
      <w:numPr>
        <w:numId w:val="4"/>
      </w:numPr>
      <w:contextualSpacing/>
    </w:pPr>
  </w:style>
  <w:style w:type="paragraph" w:styleId="Aufzhlungszeichen4">
    <w:name w:val="List Bullet 4"/>
    <w:basedOn w:val="Standard"/>
    <w:uiPriority w:val="99"/>
    <w:semiHidden/>
    <w:unhideWhenUsed/>
    <w:rsid w:val="00183D94"/>
    <w:pPr>
      <w:numPr>
        <w:numId w:val="5"/>
      </w:numPr>
      <w:contextualSpacing/>
    </w:pPr>
  </w:style>
  <w:style w:type="character" w:styleId="BesuchterLink">
    <w:name w:val="FollowedHyperlink"/>
    <w:basedOn w:val="Absatz-Standardschriftart"/>
    <w:uiPriority w:val="99"/>
    <w:semiHidden/>
    <w:unhideWhenUsed/>
    <w:rsid w:val="001A26F2"/>
    <w:rPr>
      <w:color w:val="800080" w:themeColor="followedHyperlink"/>
      <w:u w:val="single"/>
    </w:rPr>
  </w:style>
  <w:style w:type="paragraph" w:styleId="Kopfzeile">
    <w:name w:val="header"/>
    <w:basedOn w:val="Standard"/>
    <w:link w:val="KopfzeileZchn"/>
    <w:uiPriority w:val="99"/>
    <w:semiHidden/>
    <w:unhideWhenUsed/>
    <w:pPr>
      <w:tabs>
        <w:tab w:val="center" w:pos="4535"/>
        <w:tab w:val="right" w:pos="9071"/>
      </w:tabs>
      <w:spacing w:before="0"/>
    </w:pPr>
  </w:style>
  <w:style w:type="character" w:customStyle="1" w:styleId="KopfzeileZchn">
    <w:name w:val="Kopfzeile Zchn"/>
    <w:basedOn w:val="Absatz-Standardschriftart"/>
    <w:link w:val="Kopfzeile"/>
    <w:uiPriority w:val="99"/>
    <w:semiHidden/>
    <w:rPr>
      <w:rFonts w:ascii="Times New Roman" w:hAnsi="Times New Roman" w:cs="Times New Roman"/>
      <w:sz w:val="24"/>
      <w:shd w:val="clear" w:color="auto" w:fill="auto"/>
      <w:lang w:val="en-GB"/>
    </w:rPr>
  </w:style>
  <w:style w:type="paragraph" w:styleId="Fuzeile">
    <w:name w:val="footer"/>
    <w:basedOn w:val="Standard"/>
    <w:link w:val="FuzeileZchn"/>
    <w:uiPriority w:val="99"/>
    <w:semiHidden/>
    <w:unhideWhenUsed/>
    <w:pPr>
      <w:tabs>
        <w:tab w:val="center" w:pos="4535"/>
        <w:tab w:val="right" w:pos="9071"/>
        <w:tab w:val="right" w:pos="9921"/>
      </w:tabs>
      <w:spacing w:before="360" w:after="0"/>
      <w:ind w:left="-850" w:right="-850"/>
      <w:jc w:val="left"/>
    </w:pPr>
  </w:style>
  <w:style w:type="character" w:customStyle="1" w:styleId="FuzeileZchn">
    <w:name w:val="Fußzeile Zchn"/>
    <w:basedOn w:val="Absatz-Standardschriftart"/>
    <w:link w:val="Fuzeile"/>
    <w:uiPriority w:val="99"/>
    <w:semiHidden/>
    <w:rPr>
      <w:rFonts w:ascii="Times New Roman" w:hAnsi="Times New Roman" w:cs="Times New Roman"/>
      <w:sz w:val="24"/>
      <w:shd w:val="clear" w:color="auto" w:fill="auto"/>
      <w:lang w:val="en-GB"/>
    </w:rPr>
  </w:style>
  <w:style w:type="paragraph" w:styleId="Funotentext">
    <w:name w:val="footnote text"/>
    <w:basedOn w:val="Standard"/>
    <w:link w:val="FunotentextZchn"/>
    <w:uiPriority w:val="99"/>
    <w:semiHidden/>
    <w:unhideWhenUsed/>
    <w:pPr>
      <w:spacing w:before="0" w:after="0"/>
      <w:ind w:left="720" w:hanging="720"/>
    </w:pPr>
    <w:rPr>
      <w:sz w:val="20"/>
      <w:szCs w:val="20"/>
    </w:rPr>
  </w:style>
  <w:style w:type="character" w:customStyle="1" w:styleId="FunotentextZchn">
    <w:name w:val="Fußnotentext Zchn"/>
    <w:basedOn w:val="Absatz-Standardschriftart"/>
    <w:link w:val="Funotentext"/>
    <w:uiPriority w:val="99"/>
    <w:semiHidden/>
    <w:rPr>
      <w:rFonts w:ascii="Times New Roman" w:hAnsi="Times New Roman" w:cs="Times New Roman"/>
      <w:sz w:val="20"/>
      <w:szCs w:val="20"/>
      <w:shd w:val="clear" w:color="auto" w:fill="auto"/>
      <w:lang w:val="en-GB"/>
    </w:rPr>
  </w:style>
  <w:style w:type="character" w:customStyle="1" w:styleId="berschrift1Zchn">
    <w:name w:val="Überschrift 1 Zchn"/>
    <w:basedOn w:val="Absatz-Standardschriftart"/>
    <w:link w:val="berschrift1"/>
    <w:uiPriority w:val="9"/>
    <w:rPr>
      <w:rFonts w:ascii="Times New Roman" w:eastAsiaTheme="majorEastAsia" w:hAnsi="Times New Roman" w:cs="Times New Roman"/>
      <w:b/>
      <w:bCs/>
      <w:smallCaps/>
      <w:sz w:val="24"/>
      <w:szCs w:val="28"/>
      <w:lang w:val="en-GB"/>
    </w:rPr>
  </w:style>
  <w:style w:type="character" w:customStyle="1" w:styleId="berschrift2Zchn">
    <w:name w:val="Überschrift 2 Zchn"/>
    <w:basedOn w:val="Absatz-Standardschriftart"/>
    <w:link w:val="berschrift2"/>
    <w:uiPriority w:val="9"/>
    <w:semiHidden/>
    <w:rPr>
      <w:rFonts w:ascii="Times New Roman" w:eastAsiaTheme="majorEastAsia" w:hAnsi="Times New Roman" w:cs="Times New Roman"/>
      <w:b/>
      <w:bCs/>
      <w:sz w:val="24"/>
      <w:szCs w:val="26"/>
      <w:lang w:val="en-GB"/>
    </w:rPr>
  </w:style>
  <w:style w:type="character" w:customStyle="1" w:styleId="berschrift3Zchn">
    <w:name w:val="Überschrift 3 Zchn"/>
    <w:basedOn w:val="Absatz-Standardschriftart"/>
    <w:link w:val="berschrift3"/>
    <w:uiPriority w:val="9"/>
    <w:semiHidden/>
    <w:rPr>
      <w:rFonts w:ascii="Times New Roman" w:eastAsiaTheme="majorEastAsia" w:hAnsi="Times New Roman" w:cs="Times New Roman"/>
      <w:bCs/>
      <w:i/>
      <w:sz w:val="24"/>
      <w:lang w:val="en-GB"/>
    </w:rPr>
  </w:style>
  <w:style w:type="character" w:customStyle="1" w:styleId="berschrift4Zchn">
    <w:name w:val="Überschrift 4 Zchn"/>
    <w:basedOn w:val="Absatz-Standardschriftart"/>
    <w:link w:val="berschrift4"/>
    <w:uiPriority w:val="9"/>
    <w:semiHidden/>
    <w:rPr>
      <w:rFonts w:ascii="Times New Roman" w:eastAsiaTheme="majorEastAsia" w:hAnsi="Times New Roman" w:cs="Times New Roman"/>
      <w:bCs/>
      <w:iCs/>
      <w:sz w:val="24"/>
      <w:lang w:val="en-GB"/>
    </w:rPr>
  </w:style>
  <w:style w:type="character" w:customStyle="1" w:styleId="berschrift5Zchn">
    <w:name w:val="Überschrift 5 Zchn"/>
    <w:basedOn w:val="Absatz-Standardschriftart"/>
    <w:link w:val="berschrift5"/>
    <w:uiPriority w:val="9"/>
    <w:semiHidden/>
    <w:rPr>
      <w:rFonts w:ascii="Times New Roman" w:eastAsiaTheme="majorEastAsia" w:hAnsi="Times New Roman" w:cs="Times New Roman"/>
      <w:sz w:val="24"/>
      <w:lang w:val="en-GB"/>
    </w:rPr>
  </w:style>
  <w:style w:type="character" w:customStyle="1" w:styleId="berschrift6Zchn">
    <w:name w:val="Überschrift 6 Zchn"/>
    <w:basedOn w:val="Absatz-Standardschriftart"/>
    <w:link w:val="berschrift6"/>
    <w:uiPriority w:val="9"/>
    <w:semiHidden/>
    <w:rPr>
      <w:rFonts w:ascii="Times New Roman" w:eastAsiaTheme="majorEastAsia" w:hAnsi="Times New Roman" w:cs="Times New Roman"/>
      <w:iCs/>
      <w:sz w:val="24"/>
      <w:lang w:val="en-GB"/>
    </w:rPr>
  </w:style>
  <w:style w:type="character" w:customStyle="1" w:styleId="berschrift7Zchn">
    <w:name w:val="Überschrift 7 Zchn"/>
    <w:basedOn w:val="Absatz-Standardschriftart"/>
    <w:link w:val="berschrift7"/>
    <w:uiPriority w:val="9"/>
    <w:semiHidden/>
    <w:rPr>
      <w:rFonts w:ascii="Times New Roman" w:eastAsiaTheme="majorEastAsia" w:hAnsi="Times New Roman" w:cs="Times New Roman"/>
      <w:iCs/>
      <w:sz w:val="24"/>
      <w:lang w:val="en-GB"/>
    </w:rPr>
  </w:style>
  <w:style w:type="paragraph" w:styleId="Inhaltsverzeichnisberschrift">
    <w:name w:val="TOC Heading"/>
    <w:basedOn w:val="Standard"/>
    <w:next w:val="Standard"/>
    <w:uiPriority w:val="39"/>
    <w:semiHidden/>
    <w:unhideWhenUsed/>
    <w:qFormat/>
    <w:pPr>
      <w:spacing w:after="240"/>
      <w:jc w:val="center"/>
    </w:pPr>
    <w:rPr>
      <w:b/>
      <w:sz w:val="28"/>
    </w:rPr>
  </w:style>
  <w:style w:type="paragraph" w:styleId="Verzeichnis1">
    <w:name w:val="toc 1"/>
    <w:basedOn w:val="Standard"/>
    <w:next w:val="Standard"/>
    <w:uiPriority w:val="39"/>
    <w:semiHidden/>
    <w:unhideWhenUsed/>
    <w:pPr>
      <w:tabs>
        <w:tab w:val="right" w:leader="dot" w:pos="9071"/>
      </w:tabs>
      <w:spacing w:before="60"/>
      <w:ind w:left="850" w:hanging="850"/>
      <w:jc w:val="left"/>
    </w:pPr>
  </w:style>
  <w:style w:type="paragraph" w:styleId="Verzeichnis2">
    <w:name w:val="toc 2"/>
    <w:basedOn w:val="Standard"/>
    <w:next w:val="Standard"/>
    <w:uiPriority w:val="39"/>
    <w:semiHidden/>
    <w:unhideWhenUsed/>
    <w:pPr>
      <w:tabs>
        <w:tab w:val="right" w:leader="dot" w:pos="9071"/>
      </w:tabs>
      <w:spacing w:before="60"/>
      <w:ind w:left="850" w:hanging="850"/>
      <w:jc w:val="left"/>
    </w:pPr>
  </w:style>
  <w:style w:type="paragraph" w:styleId="Verzeichnis3">
    <w:name w:val="toc 3"/>
    <w:basedOn w:val="Standard"/>
    <w:next w:val="Standard"/>
    <w:uiPriority w:val="39"/>
    <w:semiHidden/>
    <w:unhideWhenUsed/>
    <w:pPr>
      <w:tabs>
        <w:tab w:val="right" w:leader="dot" w:pos="9071"/>
      </w:tabs>
      <w:spacing w:before="60"/>
      <w:ind w:left="850" w:hanging="850"/>
      <w:jc w:val="left"/>
    </w:pPr>
  </w:style>
  <w:style w:type="paragraph" w:styleId="Verzeichnis4">
    <w:name w:val="toc 4"/>
    <w:basedOn w:val="Standard"/>
    <w:next w:val="Standard"/>
    <w:uiPriority w:val="39"/>
    <w:semiHidden/>
    <w:unhideWhenUsed/>
    <w:pPr>
      <w:tabs>
        <w:tab w:val="right" w:leader="dot" w:pos="9071"/>
      </w:tabs>
      <w:spacing w:before="60"/>
      <w:ind w:left="850" w:hanging="850"/>
      <w:jc w:val="left"/>
    </w:pPr>
  </w:style>
  <w:style w:type="paragraph" w:styleId="Verzeichnis5">
    <w:name w:val="toc 5"/>
    <w:basedOn w:val="Standard"/>
    <w:next w:val="Standard"/>
    <w:uiPriority w:val="39"/>
    <w:semiHidden/>
    <w:unhideWhenUsed/>
    <w:pPr>
      <w:tabs>
        <w:tab w:val="right" w:leader="dot" w:pos="9071"/>
      </w:tabs>
      <w:spacing w:before="300"/>
      <w:jc w:val="left"/>
    </w:pPr>
  </w:style>
  <w:style w:type="paragraph" w:styleId="Verzeichnis6">
    <w:name w:val="toc 6"/>
    <w:basedOn w:val="Standard"/>
    <w:next w:val="Standard"/>
    <w:uiPriority w:val="39"/>
    <w:semiHidden/>
    <w:unhideWhenUsed/>
    <w:pPr>
      <w:tabs>
        <w:tab w:val="right" w:leader="dot" w:pos="9071"/>
      </w:tabs>
      <w:spacing w:before="240"/>
      <w:jc w:val="left"/>
    </w:pPr>
  </w:style>
  <w:style w:type="paragraph" w:styleId="Verzeichnis7">
    <w:name w:val="toc 7"/>
    <w:basedOn w:val="Standard"/>
    <w:next w:val="Standard"/>
    <w:uiPriority w:val="39"/>
    <w:semiHidden/>
    <w:unhideWhenUsed/>
    <w:pPr>
      <w:tabs>
        <w:tab w:val="right" w:leader="dot" w:pos="9071"/>
      </w:tabs>
      <w:spacing w:before="180"/>
      <w:jc w:val="left"/>
    </w:pPr>
  </w:style>
  <w:style w:type="paragraph" w:styleId="Verzeichnis8">
    <w:name w:val="toc 8"/>
    <w:basedOn w:val="Standard"/>
    <w:next w:val="Standard"/>
    <w:uiPriority w:val="39"/>
    <w:semiHidden/>
    <w:unhideWhenUsed/>
    <w:pPr>
      <w:tabs>
        <w:tab w:val="right" w:leader="dot" w:pos="9071"/>
      </w:tabs>
      <w:jc w:val="left"/>
    </w:pPr>
  </w:style>
  <w:style w:type="paragraph" w:styleId="Verzeichnis9">
    <w:name w:val="toc 9"/>
    <w:basedOn w:val="Standard"/>
    <w:next w:val="Standard"/>
    <w:uiPriority w:val="39"/>
    <w:semiHidden/>
    <w:unhideWhenUsed/>
    <w:pPr>
      <w:tabs>
        <w:tab w:val="right" w:leader="dot" w:pos="9071"/>
      </w:tabs>
      <w:ind w:left="1417" w:hanging="1417"/>
      <w:jc w:val="left"/>
    </w:pPr>
  </w:style>
  <w:style w:type="paragraph" w:customStyle="1" w:styleId="HeaderLandscape">
    <w:name w:val="HeaderLandscape"/>
    <w:basedOn w:val="Standard"/>
    <w:pPr>
      <w:tabs>
        <w:tab w:val="center" w:pos="7285"/>
        <w:tab w:val="right" w:pos="14003"/>
      </w:tabs>
      <w:spacing w:before="0"/>
    </w:pPr>
  </w:style>
  <w:style w:type="paragraph" w:customStyle="1" w:styleId="FooterLandscape">
    <w:name w:val="FooterLandscape"/>
    <w:basedOn w:val="Standard"/>
    <w:pPr>
      <w:tabs>
        <w:tab w:val="center" w:pos="7285"/>
        <w:tab w:val="center" w:pos="10913"/>
        <w:tab w:val="right" w:pos="15137"/>
      </w:tabs>
      <w:spacing w:before="360" w:after="0"/>
      <w:ind w:left="-567" w:right="-567"/>
      <w:jc w:val="left"/>
    </w:pPr>
  </w:style>
  <w:style w:type="character" w:styleId="Funotenzeichen">
    <w:name w:val="footnote reference"/>
    <w:basedOn w:val="Absatz-Standardschriftart"/>
    <w:uiPriority w:val="99"/>
    <w:semiHidden/>
    <w:unhideWhenUsed/>
    <w:rPr>
      <w:shd w:val="clear" w:color="auto" w:fill="auto"/>
      <w:vertAlign w:val="superscript"/>
    </w:rPr>
  </w:style>
  <w:style w:type="paragraph" w:customStyle="1" w:styleId="HeaderSensitivity">
    <w:name w:val="Header Sensitivity"/>
    <w:basedOn w:val="Standar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Standard"/>
    <w:pPr>
      <w:spacing w:before="0"/>
      <w:jc w:val="right"/>
    </w:pPr>
    <w:rPr>
      <w:sz w:val="28"/>
    </w:rPr>
  </w:style>
  <w:style w:type="paragraph" w:customStyle="1" w:styleId="FooterSensitivity">
    <w:name w:val="Footer Sensitivity"/>
    <w:basedOn w:val="Standar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Standard"/>
    <w:pPr>
      <w:ind w:left="850"/>
    </w:pPr>
  </w:style>
  <w:style w:type="paragraph" w:customStyle="1" w:styleId="Text2">
    <w:name w:val="Text 2"/>
    <w:basedOn w:val="Standard"/>
    <w:pPr>
      <w:ind w:left="1417"/>
    </w:pPr>
  </w:style>
  <w:style w:type="paragraph" w:customStyle="1" w:styleId="Text3">
    <w:name w:val="Text 3"/>
    <w:basedOn w:val="Standard"/>
    <w:pPr>
      <w:ind w:left="1984"/>
    </w:pPr>
  </w:style>
  <w:style w:type="paragraph" w:customStyle="1" w:styleId="Text4">
    <w:name w:val="Text 4"/>
    <w:basedOn w:val="Standard"/>
    <w:pPr>
      <w:ind w:left="2551"/>
    </w:pPr>
  </w:style>
  <w:style w:type="paragraph" w:customStyle="1" w:styleId="Text5">
    <w:name w:val="Text 5"/>
    <w:basedOn w:val="Standard"/>
    <w:pPr>
      <w:ind w:left="3118"/>
    </w:pPr>
  </w:style>
  <w:style w:type="paragraph" w:customStyle="1" w:styleId="Text6">
    <w:name w:val="Text 6"/>
    <w:basedOn w:val="Standard"/>
    <w:pPr>
      <w:ind w:left="3685"/>
    </w:pPr>
  </w:style>
  <w:style w:type="paragraph" w:customStyle="1" w:styleId="NormalCentered">
    <w:name w:val="Normal Centered"/>
    <w:basedOn w:val="Standard"/>
    <w:pPr>
      <w:jc w:val="center"/>
    </w:pPr>
  </w:style>
  <w:style w:type="paragraph" w:customStyle="1" w:styleId="NormalLeft">
    <w:name w:val="Normal Left"/>
    <w:basedOn w:val="Standard"/>
    <w:pPr>
      <w:jc w:val="left"/>
    </w:pPr>
  </w:style>
  <w:style w:type="paragraph" w:customStyle="1" w:styleId="NormalRight">
    <w:name w:val="Normal Right"/>
    <w:basedOn w:val="Standard"/>
    <w:pPr>
      <w:jc w:val="right"/>
    </w:pPr>
  </w:style>
  <w:style w:type="paragraph" w:customStyle="1" w:styleId="QuotedText">
    <w:name w:val="Quoted Text"/>
    <w:basedOn w:val="Standard"/>
    <w:pPr>
      <w:ind w:left="1417"/>
    </w:pPr>
  </w:style>
  <w:style w:type="paragraph" w:customStyle="1" w:styleId="Point0">
    <w:name w:val="Point 0"/>
    <w:basedOn w:val="Standard"/>
    <w:pPr>
      <w:ind w:left="850" w:hanging="850"/>
    </w:pPr>
  </w:style>
  <w:style w:type="paragraph" w:customStyle="1" w:styleId="Point1">
    <w:name w:val="Point 1"/>
    <w:basedOn w:val="Standard"/>
    <w:pPr>
      <w:ind w:left="1417" w:hanging="567"/>
    </w:pPr>
  </w:style>
  <w:style w:type="paragraph" w:customStyle="1" w:styleId="Point2">
    <w:name w:val="Point 2"/>
    <w:basedOn w:val="Standard"/>
    <w:pPr>
      <w:ind w:left="1984" w:hanging="567"/>
    </w:pPr>
  </w:style>
  <w:style w:type="paragraph" w:customStyle="1" w:styleId="Point3">
    <w:name w:val="Point 3"/>
    <w:basedOn w:val="Standard"/>
    <w:pPr>
      <w:ind w:left="2551" w:hanging="567"/>
    </w:pPr>
  </w:style>
  <w:style w:type="paragraph" w:customStyle="1" w:styleId="Point4">
    <w:name w:val="Point 4"/>
    <w:basedOn w:val="Standard"/>
    <w:pPr>
      <w:ind w:left="3118" w:hanging="567"/>
    </w:pPr>
  </w:style>
  <w:style w:type="paragraph" w:customStyle="1" w:styleId="Point5">
    <w:name w:val="Point 5"/>
    <w:basedOn w:val="Standard"/>
    <w:pPr>
      <w:ind w:left="3685" w:hanging="567"/>
    </w:pPr>
  </w:style>
  <w:style w:type="paragraph" w:customStyle="1" w:styleId="Tiret0">
    <w:name w:val="Tiret 0"/>
    <w:basedOn w:val="Point0"/>
    <w:pPr>
      <w:numPr>
        <w:numId w:val="6"/>
      </w:numPr>
    </w:pPr>
  </w:style>
  <w:style w:type="paragraph" w:customStyle="1" w:styleId="Tiret1">
    <w:name w:val="Tiret 1"/>
    <w:basedOn w:val="Point1"/>
    <w:pPr>
      <w:numPr>
        <w:numId w:val="7"/>
      </w:numPr>
    </w:pPr>
  </w:style>
  <w:style w:type="paragraph" w:customStyle="1" w:styleId="Tiret2">
    <w:name w:val="Tiret 2"/>
    <w:basedOn w:val="Point2"/>
    <w:pPr>
      <w:numPr>
        <w:numId w:val="8"/>
      </w:numPr>
    </w:pPr>
  </w:style>
  <w:style w:type="paragraph" w:customStyle="1" w:styleId="Tiret3">
    <w:name w:val="Tiret 3"/>
    <w:basedOn w:val="Point3"/>
    <w:pPr>
      <w:numPr>
        <w:numId w:val="9"/>
      </w:numPr>
    </w:pPr>
  </w:style>
  <w:style w:type="paragraph" w:customStyle="1" w:styleId="Tiret4">
    <w:name w:val="Tiret 4"/>
    <w:basedOn w:val="Point4"/>
    <w:pPr>
      <w:numPr>
        <w:numId w:val="10"/>
      </w:numPr>
    </w:pPr>
  </w:style>
  <w:style w:type="paragraph" w:customStyle="1" w:styleId="Tiret5">
    <w:name w:val="Tiret 5"/>
    <w:basedOn w:val="Point5"/>
    <w:pPr>
      <w:numPr>
        <w:numId w:val="11"/>
      </w:numPr>
    </w:pPr>
  </w:style>
  <w:style w:type="paragraph" w:customStyle="1" w:styleId="PointDouble0">
    <w:name w:val="PointDouble 0"/>
    <w:basedOn w:val="Standard"/>
    <w:pPr>
      <w:tabs>
        <w:tab w:val="left" w:pos="850"/>
      </w:tabs>
      <w:ind w:left="1417" w:hanging="1417"/>
    </w:pPr>
  </w:style>
  <w:style w:type="paragraph" w:customStyle="1" w:styleId="PointDouble1">
    <w:name w:val="PointDouble 1"/>
    <w:basedOn w:val="Standard"/>
    <w:pPr>
      <w:tabs>
        <w:tab w:val="left" w:pos="1417"/>
      </w:tabs>
      <w:ind w:left="1984" w:hanging="1134"/>
    </w:pPr>
  </w:style>
  <w:style w:type="paragraph" w:customStyle="1" w:styleId="PointDouble2">
    <w:name w:val="PointDouble 2"/>
    <w:basedOn w:val="Standard"/>
    <w:pPr>
      <w:tabs>
        <w:tab w:val="left" w:pos="1984"/>
      </w:tabs>
      <w:ind w:left="2551" w:hanging="1134"/>
    </w:pPr>
  </w:style>
  <w:style w:type="paragraph" w:customStyle="1" w:styleId="PointDouble3">
    <w:name w:val="PointDouble 3"/>
    <w:basedOn w:val="Standard"/>
    <w:pPr>
      <w:tabs>
        <w:tab w:val="left" w:pos="2551"/>
      </w:tabs>
      <w:ind w:left="3118" w:hanging="1134"/>
    </w:pPr>
  </w:style>
  <w:style w:type="paragraph" w:customStyle="1" w:styleId="PointDouble4">
    <w:name w:val="PointDouble 4"/>
    <w:basedOn w:val="Standard"/>
    <w:pPr>
      <w:tabs>
        <w:tab w:val="left" w:pos="3118"/>
      </w:tabs>
      <w:ind w:left="3685" w:hanging="1134"/>
    </w:pPr>
  </w:style>
  <w:style w:type="paragraph" w:customStyle="1" w:styleId="PointTriple0">
    <w:name w:val="PointTriple 0"/>
    <w:basedOn w:val="Standard"/>
    <w:pPr>
      <w:tabs>
        <w:tab w:val="left" w:pos="850"/>
        <w:tab w:val="left" w:pos="1417"/>
      </w:tabs>
      <w:ind w:left="1984" w:hanging="1984"/>
    </w:pPr>
  </w:style>
  <w:style w:type="paragraph" w:customStyle="1" w:styleId="PointTriple1">
    <w:name w:val="PointTriple 1"/>
    <w:basedOn w:val="Standard"/>
    <w:pPr>
      <w:tabs>
        <w:tab w:val="left" w:pos="1417"/>
        <w:tab w:val="left" w:pos="1984"/>
      </w:tabs>
      <w:ind w:left="2551" w:hanging="1701"/>
    </w:pPr>
  </w:style>
  <w:style w:type="paragraph" w:customStyle="1" w:styleId="PointTriple2">
    <w:name w:val="PointTriple 2"/>
    <w:basedOn w:val="Standard"/>
    <w:pPr>
      <w:tabs>
        <w:tab w:val="left" w:pos="1984"/>
        <w:tab w:val="left" w:pos="2551"/>
      </w:tabs>
      <w:ind w:left="3118" w:hanging="1701"/>
    </w:pPr>
  </w:style>
  <w:style w:type="paragraph" w:customStyle="1" w:styleId="PointTriple3">
    <w:name w:val="PointTriple 3"/>
    <w:basedOn w:val="Standard"/>
    <w:pPr>
      <w:tabs>
        <w:tab w:val="left" w:pos="2551"/>
        <w:tab w:val="left" w:pos="3118"/>
      </w:tabs>
      <w:ind w:left="3685" w:hanging="1701"/>
    </w:pPr>
  </w:style>
  <w:style w:type="paragraph" w:customStyle="1" w:styleId="PointTriple4">
    <w:name w:val="PointTriple 4"/>
    <w:basedOn w:val="Standard"/>
    <w:pPr>
      <w:tabs>
        <w:tab w:val="left" w:pos="3118"/>
        <w:tab w:val="left" w:pos="3685"/>
      </w:tabs>
      <w:ind w:left="4252" w:hanging="1701"/>
    </w:pPr>
  </w:style>
  <w:style w:type="paragraph" w:customStyle="1" w:styleId="NumPar1">
    <w:name w:val="NumPar 1"/>
    <w:basedOn w:val="Standard"/>
    <w:next w:val="Text1"/>
    <w:pPr>
      <w:numPr>
        <w:numId w:val="12"/>
      </w:numPr>
    </w:pPr>
  </w:style>
  <w:style w:type="paragraph" w:customStyle="1" w:styleId="NumPar2">
    <w:name w:val="NumPar 2"/>
    <w:basedOn w:val="Standard"/>
    <w:next w:val="Text1"/>
    <w:pPr>
      <w:numPr>
        <w:ilvl w:val="1"/>
        <w:numId w:val="12"/>
      </w:numPr>
    </w:pPr>
  </w:style>
  <w:style w:type="paragraph" w:customStyle="1" w:styleId="NumPar3">
    <w:name w:val="NumPar 3"/>
    <w:basedOn w:val="Standard"/>
    <w:next w:val="Text1"/>
    <w:pPr>
      <w:numPr>
        <w:ilvl w:val="2"/>
        <w:numId w:val="12"/>
      </w:numPr>
    </w:pPr>
  </w:style>
  <w:style w:type="paragraph" w:customStyle="1" w:styleId="NumPar4">
    <w:name w:val="NumPar 4"/>
    <w:basedOn w:val="Standard"/>
    <w:next w:val="Text1"/>
    <w:pPr>
      <w:numPr>
        <w:ilvl w:val="3"/>
        <w:numId w:val="12"/>
      </w:numPr>
    </w:pPr>
  </w:style>
  <w:style w:type="paragraph" w:customStyle="1" w:styleId="NumPar5">
    <w:name w:val="NumPar 5"/>
    <w:basedOn w:val="Standard"/>
    <w:next w:val="Text2"/>
    <w:pPr>
      <w:numPr>
        <w:ilvl w:val="4"/>
        <w:numId w:val="12"/>
      </w:numPr>
    </w:pPr>
  </w:style>
  <w:style w:type="paragraph" w:customStyle="1" w:styleId="NumPar6">
    <w:name w:val="NumPar 6"/>
    <w:basedOn w:val="Standard"/>
    <w:next w:val="Text2"/>
    <w:pPr>
      <w:numPr>
        <w:ilvl w:val="5"/>
        <w:numId w:val="12"/>
      </w:numPr>
    </w:pPr>
  </w:style>
  <w:style w:type="paragraph" w:customStyle="1" w:styleId="NumPar7">
    <w:name w:val="NumPar 7"/>
    <w:basedOn w:val="Standard"/>
    <w:next w:val="Text2"/>
    <w:pPr>
      <w:numPr>
        <w:ilvl w:val="6"/>
        <w:numId w:val="12"/>
      </w:numPr>
    </w:pPr>
  </w:style>
  <w:style w:type="paragraph" w:customStyle="1" w:styleId="ManualNumPar1">
    <w:name w:val="Manual NumPar 1"/>
    <w:basedOn w:val="Standard"/>
    <w:next w:val="Text1"/>
    <w:pPr>
      <w:ind w:left="850" w:hanging="850"/>
    </w:pPr>
  </w:style>
  <w:style w:type="paragraph" w:customStyle="1" w:styleId="ManualNumPar2">
    <w:name w:val="Manual NumPar 2"/>
    <w:basedOn w:val="Standard"/>
    <w:next w:val="Text1"/>
    <w:pPr>
      <w:ind w:left="850" w:hanging="850"/>
    </w:pPr>
  </w:style>
  <w:style w:type="paragraph" w:customStyle="1" w:styleId="ManualNumPar3">
    <w:name w:val="Manual NumPar 3"/>
    <w:basedOn w:val="Standard"/>
    <w:next w:val="Text1"/>
    <w:pPr>
      <w:ind w:left="850" w:hanging="850"/>
    </w:pPr>
  </w:style>
  <w:style w:type="paragraph" w:customStyle="1" w:styleId="ManualNumPar4">
    <w:name w:val="Manual NumPar 4"/>
    <w:basedOn w:val="Standard"/>
    <w:next w:val="Text1"/>
    <w:pPr>
      <w:ind w:left="850" w:hanging="850"/>
    </w:pPr>
  </w:style>
  <w:style w:type="paragraph" w:customStyle="1" w:styleId="ManualNumPar5">
    <w:name w:val="Manual NumPar 5"/>
    <w:basedOn w:val="Standard"/>
    <w:next w:val="Text2"/>
    <w:pPr>
      <w:ind w:left="1417" w:hanging="1417"/>
    </w:pPr>
  </w:style>
  <w:style w:type="paragraph" w:customStyle="1" w:styleId="ManualNumPar6">
    <w:name w:val="Manual NumPar 6"/>
    <w:basedOn w:val="Standard"/>
    <w:next w:val="Text2"/>
    <w:pPr>
      <w:ind w:left="1417" w:hanging="1417"/>
    </w:pPr>
  </w:style>
  <w:style w:type="paragraph" w:customStyle="1" w:styleId="ManualNumPar7">
    <w:name w:val="Manual NumPar 7"/>
    <w:basedOn w:val="Standard"/>
    <w:next w:val="Text2"/>
    <w:pPr>
      <w:ind w:left="1417" w:hanging="1417"/>
    </w:pPr>
  </w:style>
  <w:style w:type="paragraph" w:customStyle="1" w:styleId="QuotedNumPar">
    <w:name w:val="Quoted NumPar"/>
    <w:basedOn w:val="Standard"/>
    <w:pPr>
      <w:ind w:left="1417" w:hanging="567"/>
    </w:pPr>
  </w:style>
  <w:style w:type="paragraph" w:customStyle="1" w:styleId="ManualHeading1">
    <w:name w:val="Manual Heading 1"/>
    <w:basedOn w:val="Standard"/>
    <w:next w:val="Text1"/>
    <w:pPr>
      <w:keepNext/>
      <w:tabs>
        <w:tab w:val="left" w:pos="850"/>
      </w:tabs>
      <w:spacing w:before="360"/>
      <w:ind w:left="850" w:hanging="850"/>
      <w:outlineLvl w:val="0"/>
    </w:pPr>
    <w:rPr>
      <w:b/>
      <w:smallCaps/>
    </w:rPr>
  </w:style>
  <w:style w:type="paragraph" w:customStyle="1" w:styleId="ManualHeading2">
    <w:name w:val="Manual Heading 2"/>
    <w:basedOn w:val="Standard"/>
    <w:next w:val="Text1"/>
    <w:pPr>
      <w:keepNext/>
      <w:tabs>
        <w:tab w:val="left" w:pos="850"/>
      </w:tabs>
      <w:ind w:left="850" w:hanging="850"/>
      <w:outlineLvl w:val="1"/>
    </w:pPr>
    <w:rPr>
      <w:b/>
    </w:rPr>
  </w:style>
  <w:style w:type="paragraph" w:customStyle="1" w:styleId="ManualHeading3">
    <w:name w:val="Manual Heading 3"/>
    <w:basedOn w:val="Standard"/>
    <w:next w:val="Text1"/>
    <w:pPr>
      <w:keepNext/>
      <w:tabs>
        <w:tab w:val="left" w:pos="850"/>
      </w:tabs>
      <w:ind w:left="850" w:hanging="850"/>
      <w:outlineLvl w:val="2"/>
    </w:pPr>
    <w:rPr>
      <w:i/>
    </w:rPr>
  </w:style>
  <w:style w:type="paragraph" w:customStyle="1" w:styleId="ManualHeading4">
    <w:name w:val="Manual Heading 4"/>
    <w:basedOn w:val="Standard"/>
    <w:next w:val="Text1"/>
    <w:pPr>
      <w:keepNext/>
      <w:tabs>
        <w:tab w:val="left" w:pos="850"/>
      </w:tabs>
      <w:ind w:left="850" w:hanging="850"/>
      <w:outlineLvl w:val="3"/>
    </w:pPr>
  </w:style>
  <w:style w:type="paragraph" w:customStyle="1" w:styleId="ManualHeading5">
    <w:name w:val="Manual Heading 5"/>
    <w:basedOn w:val="Standard"/>
    <w:next w:val="Text2"/>
    <w:pPr>
      <w:keepNext/>
      <w:tabs>
        <w:tab w:val="left" w:pos="1417"/>
      </w:tabs>
      <w:ind w:left="1417" w:hanging="1417"/>
      <w:outlineLvl w:val="4"/>
    </w:pPr>
  </w:style>
  <w:style w:type="paragraph" w:customStyle="1" w:styleId="ManualHeading6">
    <w:name w:val="Manual Heading 6"/>
    <w:basedOn w:val="Standard"/>
    <w:next w:val="Text2"/>
    <w:pPr>
      <w:keepNext/>
      <w:tabs>
        <w:tab w:val="left" w:pos="1417"/>
      </w:tabs>
      <w:ind w:left="1417" w:hanging="1417"/>
      <w:outlineLvl w:val="5"/>
    </w:pPr>
  </w:style>
  <w:style w:type="paragraph" w:customStyle="1" w:styleId="ManualHeading7">
    <w:name w:val="Manual Heading 7"/>
    <w:basedOn w:val="Standard"/>
    <w:next w:val="Text2"/>
    <w:pPr>
      <w:keepNext/>
      <w:tabs>
        <w:tab w:val="left" w:pos="1417"/>
      </w:tabs>
      <w:ind w:left="1417" w:hanging="1417"/>
      <w:outlineLvl w:val="6"/>
    </w:pPr>
  </w:style>
  <w:style w:type="paragraph" w:customStyle="1" w:styleId="ChapterTitle">
    <w:name w:val="ChapterTitle"/>
    <w:basedOn w:val="Standard"/>
    <w:next w:val="Standard"/>
    <w:pPr>
      <w:keepNext/>
      <w:spacing w:after="360"/>
      <w:jc w:val="center"/>
    </w:pPr>
    <w:rPr>
      <w:b/>
      <w:sz w:val="32"/>
    </w:rPr>
  </w:style>
  <w:style w:type="paragraph" w:customStyle="1" w:styleId="PartTitle">
    <w:name w:val="PartTitle"/>
    <w:basedOn w:val="Standard"/>
    <w:next w:val="ChapterTitle"/>
    <w:pPr>
      <w:keepNext/>
      <w:pageBreakBefore/>
      <w:spacing w:after="360"/>
      <w:jc w:val="center"/>
    </w:pPr>
    <w:rPr>
      <w:b/>
      <w:sz w:val="36"/>
    </w:rPr>
  </w:style>
  <w:style w:type="paragraph" w:customStyle="1" w:styleId="SectionTitle">
    <w:name w:val="SectionTitle"/>
    <w:basedOn w:val="Standard"/>
    <w:next w:val="berschrift1"/>
    <w:pPr>
      <w:keepNext/>
      <w:spacing w:after="360"/>
      <w:jc w:val="center"/>
    </w:pPr>
    <w:rPr>
      <w:b/>
      <w:smallCaps/>
      <w:sz w:val="28"/>
    </w:rPr>
  </w:style>
  <w:style w:type="paragraph" w:customStyle="1" w:styleId="TableTitle">
    <w:name w:val="Table Title"/>
    <w:basedOn w:val="Standard"/>
    <w:next w:val="Standard"/>
    <w:pPr>
      <w:jc w:val="center"/>
    </w:pPr>
    <w:rPr>
      <w:b/>
    </w:rPr>
  </w:style>
  <w:style w:type="character" w:customStyle="1" w:styleId="Marker">
    <w:name w:val="Marker"/>
    <w:basedOn w:val="Absatz-Standardschriftart"/>
    <w:rPr>
      <w:color w:val="0000FF"/>
      <w:shd w:val="clear" w:color="auto" w:fill="auto"/>
    </w:rPr>
  </w:style>
  <w:style w:type="character" w:customStyle="1" w:styleId="Marker1">
    <w:name w:val="Marker1"/>
    <w:basedOn w:val="Absatz-Standardschriftart"/>
    <w:rPr>
      <w:color w:val="008000"/>
      <w:shd w:val="clear" w:color="auto" w:fill="auto"/>
    </w:rPr>
  </w:style>
  <w:style w:type="character" w:customStyle="1" w:styleId="Marker2">
    <w:name w:val="Marker2"/>
    <w:basedOn w:val="Absatz-Standardschriftart"/>
    <w:rPr>
      <w:color w:val="FF0000"/>
      <w:shd w:val="clear" w:color="auto" w:fill="auto"/>
    </w:rPr>
  </w:style>
  <w:style w:type="paragraph" w:customStyle="1" w:styleId="Point0number">
    <w:name w:val="Point 0 (number)"/>
    <w:basedOn w:val="Standard"/>
    <w:pPr>
      <w:numPr>
        <w:numId w:val="14"/>
      </w:numPr>
    </w:pPr>
  </w:style>
  <w:style w:type="paragraph" w:customStyle="1" w:styleId="Point1number">
    <w:name w:val="Point 1 (number)"/>
    <w:basedOn w:val="Standard"/>
    <w:pPr>
      <w:numPr>
        <w:ilvl w:val="2"/>
        <w:numId w:val="14"/>
      </w:numPr>
    </w:pPr>
  </w:style>
  <w:style w:type="paragraph" w:customStyle="1" w:styleId="Point2number">
    <w:name w:val="Point 2 (number)"/>
    <w:basedOn w:val="Standard"/>
    <w:pPr>
      <w:numPr>
        <w:ilvl w:val="4"/>
        <w:numId w:val="14"/>
      </w:numPr>
    </w:pPr>
  </w:style>
  <w:style w:type="paragraph" w:customStyle="1" w:styleId="Point3number">
    <w:name w:val="Point 3 (number)"/>
    <w:basedOn w:val="Standard"/>
    <w:pPr>
      <w:numPr>
        <w:ilvl w:val="6"/>
        <w:numId w:val="14"/>
      </w:numPr>
    </w:pPr>
  </w:style>
  <w:style w:type="paragraph" w:customStyle="1" w:styleId="Point0letter">
    <w:name w:val="Point 0 (letter)"/>
    <w:basedOn w:val="Standard"/>
    <w:pPr>
      <w:numPr>
        <w:ilvl w:val="1"/>
        <w:numId w:val="14"/>
      </w:numPr>
    </w:pPr>
  </w:style>
  <w:style w:type="paragraph" w:customStyle="1" w:styleId="Point1letter">
    <w:name w:val="Point 1 (letter)"/>
    <w:basedOn w:val="Standard"/>
    <w:pPr>
      <w:numPr>
        <w:ilvl w:val="3"/>
        <w:numId w:val="14"/>
      </w:numPr>
    </w:pPr>
  </w:style>
  <w:style w:type="paragraph" w:customStyle="1" w:styleId="Point2letter">
    <w:name w:val="Point 2 (letter)"/>
    <w:basedOn w:val="Standard"/>
    <w:pPr>
      <w:numPr>
        <w:ilvl w:val="5"/>
        <w:numId w:val="14"/>
      </w:numPr>
    </w:pPr>
  </w:style>
  <w:style w:type="paragraph" w:customStyle="1" w:styleId="Point3letter">
    <w:name w:val="Point 3 (letter)"/>
    <w:basedOn w:val="Standard"/>
    <w:pPr>
      <w:numPr>
        <w:ilvl w:val="7"/>
        <w:numId w:val="14"/>
      </w:numPr>
    </w:pPr>
  </w:style>
  <w:style w:type="paragraph" w:customStyle="1" w:styleId="Point4letter">
    <w:name w:val="Point 4 (letter)"/>
    <w:basedOn w:val="Standard"/>
    <w:pPr>
      <w:numPr>
        <w:ilvl w:val="8"/>
        <w:numId w:val="14"/>
      </w:numPr>
    </w:pPr>
  </w:style>
  <w:style w:type="paragraph" w:customStyle="1" w:styleId="Bullet0">
    <w:name w:val="Bullet 0"/>
    <w:basedOn w:val="Standard"/>
    <w:pPr>
      <w:numPr>
        <w:numId w:val="15"/>
      </w:numPr>
    </w:pPr>
  </w:style>
  <w:style w:type="paragraph" w:customStyle="1" w:styleId="Bullet1">
    <w:name w:val="Bullet 1"/>
    <w:basedOn w:val="Standard"/>
    <w:pPr>
      <w:numPr>
        <w:numId w:val="16"/>
      </w:numPr>
    </w:pPr>
  </w:style>
  <w:style w:type="paragraph" w:customStyle="1" w:styleId="Bullet2">
    <w:name w:val="Bullet 2"/>
    <w:basedOn w:val="Standard"/>
    <w:pPr>
      <w:numPr>
        <w:numId w:val="17"/>
      </w:numPr>
    </w:pPr>
  </w:style>
  <w:style w:type="paragraph" w:customStyle="1" w:styleId="Bullet3">
    <w:name w:val="Bullet 3"/>
    <w:basedOn w:val="Standard"/>
    <w:pPr>
      <w:numPr>
        <w:numId w:val="18"/>
      </w:numPr>
    </w:pPr>
  </w:style>
  <w:style w:type="paragraph" w:customStyle="1" w:styleId="Bullet4">
    <w:name w:val="Bullet 4"/>
    <w:basedOn w:val="Standard"/>
    <w:pPr>
      <w:numPr>
        <w:numId w:val="19"/>
      </w:numPr>
    </w:pPr>
  </w:style>
  <w:style w:type="paragraph" w:customStyle="1" w:styleId="Langue">
    <w:name w:val="Langue"/>
    <w:basedOn w:val="Standard"/>
    <w:next w:val="Rfrenceinterne"/>
    <w:pPr>
      <w:framePr w:wrap="around" w:vAnchor="page" w:hAnchor="text" w:xAlign="center" w:y="14741"/>
      <w:spacing w:before="0" w:after="600"/>
      <w:jc w:val="center"/>
    </w:pPr>
    <w:rPr>
      <w:b/>
      <w:caps/>
    </w:rPr>
  </w:style>
  <w:style w:type="paragraph" w:customStyle="1" w:styleId="Nomdelinstitution">
    <w:name w:val="Nom de l'institution"/>
    <w:basedOn w:val="Standard"/>
    <w:next w:val="Emission"/>
    <w:pPr>
      <w:spacing w:before="0" w:after="0"/>
      <w:jc w:val="left"/>
    </w:pPr>
    <w:rPr>
      <w:rFonts w:ascii="Arial" w:hAnsi="Arial" w:cs="Arial"/>
    </w:rPr>
  </w:style>
  <w:style w:type="paragraph" w:customStyle="1" w:styleId="Emission">
    <w:name w:val="Emission"/>
    <w:basedOn w:val="Standard"/>
    <w:next w:val="Rfrenceinstitutionnelle"/>
    <w:pPr>
      <w:spacing w:before="0" w:after="0"/>
      <w:ind w:left="5103"/>
      <w:jc w:val="left"/>
    </w:pPr>
  </w:style>
  <w:style w:type="paragraph" w:customStyle="1" w:styleId="Rfrenceinstitutionnelle">
    <w:name w:val="Référence institutionnelle"/>
    <w:basedOn w:val="Standard"/>
    <w:next w:val="Confidentialit"/>
    <w:pPr>
      <w:spacing w:before="0" w:after="240"/>
      <w:ind w:left="5103"/>
      <w:jc w:val="left"/>
    </w:pPr>
  </w:style>
  <w:style w:type="paragraph" w:customStyle="1" w:styleId="Pagedecouverture">
    <w:name w:val="Page de couverture"/>
    <w:basedOn w:val="Standard"/>
    <w:next w:val="Standard"/>
    <w:pPr>
      <w:spacing w:before="0" w:after="0"/>
    </w:pPr>
  </w:style>
  <w:style w:type="paragraph" w:customStyle="1" w:styleId="Declassification">
    <w:name w:val="Declassification"/>
    <w:basedOn w:val="Standard"/>
    <w:next w:val="Standard"/>
    <w:pPr>
      <w:spacing w:before="0" w:after="0"/>
    </w:pPr>
  </w:style>
  <w:style w:type="paragraph" w:customStyle="1" w:styleId="Disclaimer">
    <w:name w:val="Disclaimer"/>
    <w:basedOn w:val="Standard"/>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Standard"/>
    <w:pPr>
      <w:spacing w:before="0" w:after="0" w:line="276" w:lineRule="auto"/>
      <w:ind w:left="5103"/>
      <w:jc w:val="left"/>
    </w:pPr>
    <w:rPr>
      <w:sz w:val="28"/>
    </w:rPr>
  </w:style>
  <w:style w:type="paragraph" w:customStyle="1" w:styleId="DateMarking">
    <w:name w:val="DateMarking"/>
    <w:basedOn w:val="Standard"/>
    <w:pPr>
      <w:spacing w:before="0" w:after="0" w:line="276" w:lineRule="auto"/>
      <w:ind w:left="5103"/>
      <w:jc w:val="left"/>
    </w:pPr>
    <w:rPr>
      <w:i/>
      <w:sz w:val="28"/>
    </w:rPr>
  </w:style>
  <w:style w:type="paragraph" w:customStyle="1" w:styleId="ReleasableTo">
    <w:name w:val="ReleasableTo"/>
    <w:basedOn w:val="Standard"/>
    <w:pPr>
      <w:spacing w:before="0" w:after="0" w:line="276" w:lineRule="auto"/>
      <w:ind w:left="5103"/>
      <w:jc w:val="left"/>
    </w:pPr>
    <w:rPr>
      <w:i/>
      <w:sz w:val="28"/>
    </w:rPr>
  </w:style>
  <w:style w:type="paragraph" w:customStyle="1" w:styleId="Annexetitreexpos">
    <w:name w:val="Annexe titre (exposé)"/>
    <w:basedOn w:val="Standard"/>
    <w:next w:val="Standard"/>
    <w:pPr>
      <w:jc w:val="center"/>
    </w:pPr>
    <w:rPr>
      <w:b/>
      <w:u w:val="single"/>
    </w:rPr>
  </w:style>
  <w:style w:type="paragraph" w:customStyle="1" w:styleId="Annexetitre">
    <w:name w:val="Annexe titre"/>
    <w:basedOn w:val="Standard"/>
    <w:next w:val="Standard"/>
    <w:pPr>
      <w:jc w:val="center"/>
    </w:pPr>
    <w:rPr>
      <w:b/>
      <w:u w:val="single"/>
    </w:rPr>
  </w:style>
  <w:style w:type="paragraph" w:customStyle="1" w:styleId="Annexetitrefichefinancire">
    <w:name w:val="Annexe titre (fiche financière)"/>
    <w:basedOn w:val="Standard"/>
    <w:next w:val="Standard"/>
    <w:pPr>
      <w:jc w:val="center"/>
    </w:pPr>
    <w:rPr>
      <w:b/>
      <w:u w:val="single"/>
    </w:rPr>
  </w:style>
  <w:style w:type="paragraph" w:customStyle="1" w:styleId="Applicationdirecte">
    <w:name w:val="Application directe"/>
    <w:basedOn w:val="Standard"/>
    <w:next w:val="Fait"/>
    <w:pPr>
      <w:spacing w:before="480"/>
    </w:pPr>
  </w:style>
  <w:style w:type="paragraph" w:customStyle="1" w:styleId="Avertissementtitre">
    <w:name w:val="Avertissement titre"/>
    <w:basedOn w:val="Standard"/>
    <w:next w:val="Standard"/>
    <w:pPr>
      <w:keepNext/>
      <w:spacing w:before="480"/>
    </w:pPr>
    <w:rPr>
      <w:u w:val="single"/>
    </w:rPr>
  </w:style>
  <w:style w:type="paragraph" w:customStyle="1" w:styleId="Confidence">
    <w:name w:val="Confidence"/>
    <w:basedOn w:val="Standard"/>
    <w:next w:val="Standard"/>
    <w:pPr>
      <w:spacing w:before="360"/>
      <w:jc w:val="center"/>
    </w:pPr>
  </w:style>
  <w:style w:type="paragraph" w:customStyle="1" w:styleId="Confidentialit">
    <w:name w:val="Confidentialité"/>
    <w:basedOn w:val="Standard"/>
    <w:next w:val="TypedudocumentPagedecouverture"/>
    <w:pPr>
      <w:spacing w:before="240" w:after="240"/>
      <w:ind w:left="5103"/>
      <w:jc w:val="left"/>
    </w:pPr>
    <w:rPr>
      <w:i/>
      <w:sz w:val="32"/>
    </w:rPr>
  </w:style>
  <w:style w:type="paragraph" w:customStyle="1" w:styleId="Considrant">
    <w:name w:val="Considérant"/>
    <w:basedOn w:val="Standard"/>
    <w:pPr>
      <w:numPr>
        <w:numId w:val="20"/>
      </w:numPr>
    </w:pPr>
  </w:style>
  <w:style w:type="paragraph" w:customStyle="1" w:styleId="Corrigendum">
    <w:name w:val="Corrigendum"/>
    <w:basedOn w:val="Standard"/>
    <w:next w:val="Standard"/>
    <w:pPr>
      <w:spacing w:before="0" w:after="240"/>
      <w:jc w:val="left"/>
    </w:pPr>
  </w:style>
  <w:style w:type="paragraph" w:customStyle="1" w:styleId="Datedadoption">
    <w:name w:val="Date d'adoption"/>
    <w:basedOn w:val="Standard"/>
    <w:next w:val="Titreobjet"/>
    <w:pPr>
      <w:spacing w:before="360" w:after="0"/>
      <w:jc w:val="center"/>
    </w:pPr>
    <w:rPr>
      <w:b/>
    </w:rPr>
  </w:style>
  <w:style w:type="paragraph" w:customStyle="1" w:styleId="Exposdesmotifstitre">
    <w:name w:val="Exposé des motifs titre"/>
    <w:basedOn w:val="Standard"/>
    <w:next w:val="Standard"/>
    <w:pPr>
      <w:jc w:val="center"/>
    </w:pPr>
    <w:rPr>
      <w:b/>
      <w:u w:val="single"/>
    </w:rPr>
  </w:style>
  <w:style w:type="paragraph" w:customStyle="1" w:styleId="Fait">
    <w:name w:val="Fait à"/>
    <w:basedOn w:val="Standard"/>
    <w:next w:val="Institutionquisigne"/>
    <w:pPr>
      <w:keepNext/>
      <w:spacing w:after="0"/>
    </w:pPr>
  </w:style>
  <w:style w:type="paragraph" w:customStyle="1" w:styleId="Formuledadoption">
    <w:name w:val="Formule d'adoption"/>
    <w:basedOn w:val="Standard"/>
    <w:next w:val="Titrearticle"/>
    <w:pPr>
      <w:keepNext/>
    </w:pPr>
  </w:style>
  <w:style w:type="paragraph" w:customStyle="1" w:styleId="Institutionquiagit">
    <w:name w:val="Institution qui agit"/>
    <w:basedOn w:val="Standard"/>
    <w:next w:val="Standard"/>
    <w:pPr>
      <w:keepNext/>
      <w:spacing w:before="600"/>
    </w:pPr>
  </w:style>
  <w:style w:type="paragraph" w:customStyle="1" w:styleId="Institutionquisigne">
    <w:name w:val="Institution qui signe"/>
    <w:basedOn w:val="Standard"/>
    <w:next w:val="Personnequisigne"/>
    <w:pPr>
      <w:keepNext/>
      <w:tabs>
        <w:tab w:val="left" w:pos="4252"/>
      </w:tabs>
      <w:spacing w:before="720" w:after="0"/>
    </w:pPr>
    <w:rPr>
      <w:i/>
    </w:rPr>
  </w:style>
  <w:style w:type="paragraph" w:customStyle="1" w:styleId="ManualConsidrant">
    <w:name w:val="Manual Considérant"/>
    <w:basedOn w:val="Standard"/>
    <w:pPr>
      <w:ind w:left="709" w:hanging="709"/>
    </w:pPr>
  </w:style>
  <w:style w:type="paragraph" w:customStyle="1" w:styleId="Personnequisigne">
    <w:name w:val="Personne qui signe"/>
    <w:basedOn w:val="Standard"/>
    <w:next w:val="Institutionquisigne"/>
    <w:pPr>
      <w:tabs>
        <w:tab w:val="left" w:pos="4252"/>
      </w:tabs>
      <w:spacing w:before="0" w:after="0"/>
      <w:jc w:val="left"/>
    </w:pPr>
    <w:rPr>
      <w:i/>
    </w:rPr>
  </w:style>
  <w:style w:type="paragraph" w:customStyle="1" w:styleId="Rfrenceinterinstitutionnelle">
    <w:name w:val="Référence interinstitutionnelle"/>
    <w:basedOn w:val="Standard"/>
    <w:next w:val="Statut"/>
    <w:pPr>
      <w:spacing w:before="0" w:after="0"/>
      <w:ind w:left="5103"/>
      <w:jc w:val="left"/>
    </w:pPr>
  </w:style>
  <w:style w:type="paragraph" w:customStyle="1" w:styleId="Rfrenceinterne">
    <w:name w:val="Référence interne"/>
    <w:basedOn w:val="Standard"/>
    <w:next w:val="Rfrenceinterinstitutionnelle"/>
    <w:pPr>
      <w:spacing w:before="0" w:after="0"/>
      <w:ind w:left="5103"/>
      <w:jc w:val="left"/>
    </w:pPr>
  </w:style>
  <w:style w:type="paragraph" w:customStyle="1" w:styleId="Statut">
    <w:name w:val="Statut"/>
    <w:basedOn w:val="Standard"/>
    <w:next w:val="Typedudocument"/>
    <w:pPr>
      <w:spacing w:before="360" w:after="0"/>
      <w:jc w:val="center"/>
    </w:pPr>
  </w:style>
  <w:style w:type="paragraph" w:customStyle="1" w:styleId="Titrearticle">
    <w:name w:val="Titre article"/>
    <w:basedOn w:val="Standard"/>
    <w:next w:val="Standard"/>
    <w:pPr>
      <w:keepNext/>
      <w:spacing w:before="360"/>
      <w:jc w:val="center"/>
    </w:pPr>
    <w:rPr>
      <w:i/>
    </w:rPr>
  </w:style>
  <w:style w:type="paragraph" w:customStyle="1" w:styleId="Titreobjet">
    <w:name w:val="Titre objet"/>
    <w:basedOn w:val="Standard"/>
    <w:next w:val="IntrtEEE"/>
    <w:pPr>
      <w:spacing w:before="360" w:after="360"/>
      <w:jc w:val="center"/>
    </w:pPr>
    <w:rPr>
      <w:b/>
    </w:rPr>
  </w:style>
  <w:style w:type="paragraph" w:customStyle="1" w:styleId="Typedudocument">
    <w:name w:val="Type du document"/>
    <w:basedOn w:val="Standard"/>
    <w:next w:val="Titreobjet"/>
    <w:pPr>
      <w:spacing w:before="360" w:after="0"/>
      <w:jc w:val="center"/>
    </w:pPr>
    <w:rPr>
      <w:b/>
    </w:rPr>
  </w:style>
  <w:style w:type="character" w:customStyle="1" w:styleId="Added">
    <w:name w:val="Added"/>
    <w:basedOn w:val="Absatz-Standardschriftart"/>
    <w:rPr>
      <w:b/>
      <w:u w:val="single"/>
      <w:shd w:val="clear" w:color="auto" w:fill="auto"/>
    </w:rPr>
  </w:style>
  <w:style w:type="character" w:customStyle="1" w:styleId="Deleted">
    <w:name w:val="Deleted"/>
    <w:basedOn w:val="Absatz-Standardschriftart"/>
    <w:rPr>
      <w:strike/>
      <w:dstrike w:val="0"/>
      <w:shd w:val="clear" w:color="auto" w:fill="auto"/>
    </w:rPr>
  </w:style>
  <w:style w:type="paragraph" w:customStyle="1" w:styleId="Address">
    <w:name w:val="Address"/>
    <w:basedOn w:val="Standard"/>
    <w:next w:val="Standard"/>
    <w:pPr>
      <w:keepLines/>
      <w:spacing w:line="360" w:lineRule="auto"/>
      <w:ind w:left="3402"/>
      <w:jc w:val="left"/>
    </w:pPr>
  </w:style>
  <w:style w:type="paragraph" w:customStyle="1" w:styleId="Objetexterne">
    <w:name w:val="Objet externe"/>
    <w:basedOn w:val="Standard"/>
    <w:next w:val="Standard"/>
    <w:rPr>
      <w:i/>
      <w:caps/>
    </w:rPr>
  </w:style>
  <w:style w:type="paragraph" w:customStyle="1" w:styleId="Supertitre">
    <w:name w:val="Supertitre"/>
    <w:basedOn w:val="Standard"/>
    <w:next w:val="Standard"/>
    <w:pPr>
      <w:spacing w:before="0" w:after="600"/>
      <w:jc w:val="center"/>
    </w:pPr>
    <w:rPr>
      <w:b/>
    </w:rPr>
  </w:style>
  <w:style w:type="paragraph" w:customStyle="1" w:styleId="Languesfaisantfoi">
    <w:name w:val="Langues faisant foi"/>
    <w:basedOn w:val="Standard"/>
    <w:next w:val="Standard"/>
    <w:rsid w:val="00E664ED"/>
    <w:pPr>
      <w:spacing w:before="360" w:after="240"/>
      <w:jc w:val="center"/>
    </w:pPr>
  </w:style>
  <w:style w:type="paragraph" w:customStyle="1" w:styleId="Rfrencecroise">
    <w:name w:val="Référence croisée"/>
    <w:basedOn w:val="Standard"/>
    <w:pPr>
      <w:spacing w:before="0" w:after="0"/>
      <w:jc w:val="center"/>
    </w:pPr>
  </w:style>
  <w:style w:type="paragraph" w:customStyle="1" w:styleId="Fichefinanciretitre">
    <w:name w:val="Fiche financière titre"/>
    <w:basedOn w:val="Standard"/>
    <w:next w:val="Standard"/>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Standard"/>
    <w:next w:val="Confidentialit"/>
    <w:pPr>
      <w:spacing w:before="0" w:after="240"/>
      <w:ind w:left="5103"/>
      <w:jc w:val="left"/>
    </w:pPr>
  </w:style>
  <w:style w:type="paragraph" w:customStyle="1" w:styleId="IntrtEEE">
    <w:name w:val="Intérêt EEE"/>
    <w:basedOn w:val="Languesfaisantfoi"/>
    <w:next w:val="Standard"/>
    <w:rsid w:val="00E664ED"/>
    <w:pPr>
      <w:spacing w:after="0"/>
    </w:pPr>
  </w:style>
  <w:style w:type="paragraph" w:customStyle="1" w:styleId="Accompagnant">
    <w:name w:val="Accompagnant"/>
    <w:basedOn w:val="Standard"/>
    <w:next w:val="Typeacteprincipal"/>
    <w:pPr>
      <w:spacing w:before="0" w:after="240"/>
      <w:jc w:val="center"/>
    </w:pPr>
    <w:rPr>
      <w:b/>
      <w:i/>
    </w:rPr>
  </w:style>
  <w:style w:type="paragraph" w:customStyle="1" w:styleId="Typeacteprincipal">
    <w:name w:val="Type acte principal"/>
    <w:basedOn w:val="Standard"/>
    <w:next w:val="Objetacteprincipal"/>
    <w:pPr>
      <w:spacing w:before="0" w:after="240"/>
      <w:jc w:val="center"/>
    </w:pPr>
    <w:rPr>
      <w:b/>
    </w:rPr>
  </w:style>
  <w:style w:type="paragraph" w:customStyle="1" w:styleId="Objetacteprincipal">
    <w:name w:val="Objet acte principal"/>
    <w:basedOn w:val="Standard"/>
    <w:next w:val="Titrearticle"/>
    <w:pPr>
      <w:spacing w:before="0" w:after="360"/>
      <w:jc w:val="center"/>
    </w:pPr>
    <w:rPr>
      <w:b/>
    </w:rPr>
  </w:style>
  <w:style w:type="paragraph" w:customStyle="1" w:styleId="IntrtEEEPagedecouverture">
    <w:name w:val="Intérêt EEE (Page de couverture)"/>
    <w:basedOn w:val="IntrtEEE"/>
    <w:next w:val="Standard"/>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Standard"/>
    <w:next w:val="Rfrencecroise"/>
    <w:rsid w:val="00E664ED"/>
    <w:pPr>
      <w:spacing w:before="36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echa.europa.eu/documents/10162/d2bd9817-102b-f9b3-8023-a913678e849f" TargetMode="External"/><Relationship Id="rId3" Type="http://schemas.openxmlformats.org/officeDocument/2006/relationships/hyperlink" Target="https://echa.europa.eu/documents/10162/fc78f7e5-8f8a-de84-1141-499c5e021d31" TargetMode="External"/><Relationship Id="rId7" Type="http://schemas.openxmlformats.org/officeDocument/2006/relationships/hyperlink" Target="https://echa.europa.eu/documents/10162/00b6d85e-cf80-2a01-227a-7ce71111f653" TargetMode="External"/><Relationship Id="rId2" Type="http://schemas.openxmlformats.org/officeDocument/2006/relationships/hyperlink" Target="https://www.echa.europa.eu/documents/10162/fb7a9167-7d65-dd4c-2aa2-b8182d4a8e37" TargetMode="External"/><Relationship Id="rId1" Type="http://schemas.openxmlformats.org/officeDocument/2006/relationships/hyperlink" Target="http://data.europa.eu/eli/reg/2006/1907/oj" TargetMode="External"/><Relationship Id="rId6" Type="http://schemas.openxmlformats.org/officeDocument/2006/relationships/hyperlink" Target="http://data.europa.eu/eli/reg/2008/1272/oj" TargetMode="External"/><Relationship Id="rId5" Type="http://schemas.openxmlformats.org/officeDocument/2006/relationships/hyperlink" Target="https://echa.europa.eu/documents/10162/991a2616-f4c1-347d-976f-560c6c3b4213" TargetMode="External"/><Relationship Id="rId10" Type="http://schemas.openxmlformats.org/officeDocument/2006/relationships/hyperlink" Target="https://commission.europa.eu/document/download/e6d5db69-e0ab-4bec-9dc0-3867b4373019_en?filename=White%20paper%20for%20European%20defence%20&#8211;%20Readiness%202030.pdf" TargetMode="External"/><Relationship Id="rId4" Type="http://schemas.openxmlformats.org/officeDocument/2006/relationships/hyperlink" Target="https://echa.europa.eu/documents/10162/c0cb9178-9bc7-b4f3-1c25-0fda75b81fb1" TargetMode="External"/><Relationship Id="rId9" Type="http://schemas.openxmlformats.org/officeDocument/2006/relationships/hyperlink" Target="https://echa.europa.eu/documents/10162/d2bd9817-102b-f9b3-8023-a913678e849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KOE DMS" ma:contentTypeID="0x01010072106C75DA210C4E824231966115F8F700DF54991FAE5CEB488FF85765B45DFB99" ma:contentTypeVersion="22" ma:contentTypeDescription="Content Type for DMS" ma:contentTypeScope="" ma:versionID="c81b6b218fe7f35006f01cfa6bb21f3b">
  <xsd:schema xmlns:xsd="http://www.w3.org/2001/XMLSchema" xmlns:xs="http://www.w3.org/2001/XMLSchema" xmlns:p="http://schemas.microsoft.com/office/2006/metadata/properties" xmlns:ns2="15909d5e-1b51-4d5f-bae6-f3544bb622d4" xmlns:ns3="41e3d795-8705-4229-ae52-d44e348bb28c" xmlns:ns4="be613588-b571-4bb4-80c5-037067077d89" targetNamespace="http://schemas.microsoft.com/office/2006/metadata/properties" ma:root="true" ma:fieldsID="a9702de9aa86292bb0484ddc0102e5ab" ns2:_="" ns3:_="" ns4:_="">
    <xsd:import namespace="15909d5e-1b51-4d5f-bae6-f3544bb622d4"/>
    <xsd:import namespace="41e3d795-8705-4229-ae52-d44e348bb28c"/>
    <xsd:import namespace="be613588-b571-4bb4-80c5-037067077d89"/>
    <xsd:element name="properties">
      <xsd:complexType>
        <xsd:sequence>
          <xsd:element name="documentManagement">
            <xsd:complexType>
              <xsd:all>
                <xsd:element ref="ns2:StartdatumDSGVOBehaltefrist" minOccurs="0"/>
                <xsd:element ref="ns2:LöschdatumDSGVO" minOccurs="0"/>
                <xsd:element ref="ns3:dd9b864d7182421f9aa3279e954a1643" minOccurs="0"/>
                <xsd:element ref="ns3:TaxCatchAll" minOccurs="0"/>
                <xsd:element ref="ns3:TaxCatchAllLabel" minOccurs="0"/>
                <xsd:element ref="ns3:j9b1171293f2437f82e1015e83949080" minOccurs="0"/>
                <xsd:element ref="ns3:EigeneReferenz" minOccurs="0"/>
                <xsd:element ref="ns3:Kundenreferenz" minOccurs="0"/>
                <xsd:element ref="ns3:Fremdsystemreferenzen" minOccurs="0"/>
                <xsd:element ref="ns2:Dokumentgueltigvon" minOccurs="0"/>
                <xsd:element ref="ns2:Dokumentgueltigbis" minOccurs="0"/>
                <xsd:element ref="ns3:Poststelle" minOccurs="0"/>
                <xsd:element ref="ns3:FreiesMetadatenfeld" minOccurs="0"/>
                <xsd:element ref="ns3:Vertraulichkeit"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DateTaken" minOccurs="0"/>
                <xsd:element ref="ns4:lcf76f155ced4ddcb4097134ff3c332f"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09d5e-1b51-4d5f-bae6-f3544bb622d4" elementFormDefault="qualified">
    <xsd:import namespace="http://schemas.microsoft.com/office/2006/documentManagement/types"/>
    <xsd:import namespace="http://schemas.microsoft.com/office/infopath/2007/PartnerControls"/>
    <xsd:element name="StartdatumDSGVOBehaltefrist" ma:index="8" nillable="true" ma:displayName="Startdatum DSGVO Behaltefrist" ma:format="DateOnly" ma:internalName="StartdatumDSGVOBehaltefrist">
      <xsd:simpleType>
        <xsd:restriction base="dms:DateTime"/>
      </xsd:simpleType>
    </xsd:element>
    <xsd:element name="LöschdatumDSGVO" ma:index="9" nillable="true" ma:displayName="Löschdatum DSGVO" ma:format="DateOnly" ma:internalName="L_x00f6_schdatumDSGVO">
      <xsd:simpleType>
        <xsd:restriction base="dms:DateTime"/>
      </xsd:simpleType>
    </xsd:element>
    <xsd:element name="Dokumentgueltigvon" ma:index="19" nillable="true" ma:displayName="Dokument gültig von" ma:format="DateOnly" ma:internalName="Dokumentgueltigvon">
      <xsd:simpleType>
        <xsd:restriction base="dms:DateTime"/>
      </xsd:simpleType>
    </xsd:element>
    <xsd:element name="Dokumentgueltigbis" ma:index="20" nillable="true" ma:displayName="Dokument gültig bis" ma:format="DateOnly" ma:internalName="Dokumentgueltig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1e3d795-8705-4229-ae52-d44e348bb28c" elementFormDefault="qualified">
    <xsd:import namespace="http://schemas.microsoft.com/office/2006/documentManagement/types"/>
    <xsd:import namespace="http://schemas.microsoft.com/office/infopath/2007/PartnerControls"/>
    <xsd:element name="dd9b864d7182421f9aa3279e954a1643" ma:index="10" nillable="true" ma:taxonomy="true" ma:internalName="dd9b864d7182421f9aa3279e954a1643" ma:taxonomyFieldName="Taetigkeitsbereich" ma:displayName="Tätigkeitsbereich" ma:fieldId="{dd9b864d-7182-421f-9aa3-279e954a1643}" ma:sspId="020107af-191c-445d-bfa4-3fed7916d217" ma:termSetId="6d6bf09e-5387-4cf0-b739-ac0a98477dd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f404ba0a-b656-4e3a-878b-f63e1a038dd8}" ma:internalName="TaxCatchAll" ma:showField="CatchAllData" ma:web="41e3d795-8705-4229-ae52-d44e348bb2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404ba0a-b656-4e3a-878b-f63e1a038dd8}" ma:internalName="TaxCatchAllLabel" ma:readOnly="true" ma:showField="CatchAllDataLabel" ma:web="41e3d795-8705-4229-ae52-d44e348bb28c">
      <xsd:complexType>
        <xsd:complexContent>
          <xsd:extension base="dms:MultiChoiceLookup">
            <xsd:sequence>
              <xsd:element name="Value" type="dms:Lookup" maxOccurs="unbounded" minOccurs="0" nillable="true"/>
            </xsd:sequence>
          </xsd:extension>
        </xsd:complexContent>
      </xsd:complexType>
    </xsd:element>
    <xsd:element name="j9b1171293f2437f82e1015e83949080" ma:index="14" nillable="true" ma:taxonomy="true" ma:internalName="j9b1171293f2437f82e1015e83949080" ma:taxonomyFieldName="Dokumentenart" ma:displayName="Dokumentenart" ma:fieldId="{39b11712-93f2-437f-82e1-015e83949080}" ma:sspId="020107af-191c-445d-bfa4-3fed7916d217" ma:termSetId="23b79b47-28e1-4de8-8860-b3445e64caa5" ma:anchorId="00000000-0000-0000-0000-000000000000" ma:open="false" ma:isKeyword="false">
      <xsd:complexType>
        <xsd:sequence>
          <xsd:element ref="pc:Terms" minOccurs="0" maxOccurs="1"/>
        </xsd:sequence>
      </xsd:complexType>
    </xsd:element>
    <xsd:element name="EigeneReferenz" ma:index="16" nillable="true" ma:displayName="Eigene Referenz" ma:internalName="EigeneReferenz">
      <xsd:simpleType>
        <xsd:restriction base="dms:Text"/>
      </xsd:simpleType>
    </xsd:element>
    <xsd:element name="Kundenreferenz" ma:index="17" nillable="true" ma:displayName="Kundenreferenz" ma:internalName="Kundenreferenz">
      <xsd:simpleType>
        <xsd:restriction base="dms:Text"/>
      </xsd:simpleType>
    </xsd:element>
    <xsd:element name="Fremdsystemreferenzen" ma:index="18" nillable="true" ma:displayName="Fremdsystemreferenzen" ma:internalName="Fremdsystemreferenzen">
      <xsd:simpleType>
        <xsd:restriction base="dms:Note">
          <xsd:maxLength value="255"/>
        </xsd:restriction>
      </xsd:simpleType>
    </xsd:element>
    <xsd:element name="Poststelle" ma:index="21" nillable="true" ma:displayName="Poststelle" ma:internalName="Poststelle">
      <xsd:simpleType>
        <xsd:restriction base="dms:Note">
          <xsd:maxLength value="255"/>
        </xsd:restriction>
      </xsd:simpleType>
    </xsd:element>
    <xsd:element name="FreiesMetadatenfeld" ma:index="22" nillable="true" ma:displayName="Freies Metadatenfeld" ma:internalName="FreiesMetadatenfeld">
      <xsd:simpleType>
        <xsd:restriction base="dms:Note">
          <xsd:maxLength value="255"/>
        </xsd:restriction>
      </xsd:simpleType>
    </xsd:element>
    <xsd:element name="Vertraulichkeit" ma:index="23" nillable="true" ma:displayName="Vertraulichkeit" ma:internalName="Vertraulichkeit">
      <xsd:simpleType>
        <xsd:restriction base="dms:Text"/>
      </xsd:simpleType>
    </xsd:element>
    <xsd:element name="_dlc_DocId" ma:index="24" nillable="true" ma:displayName="Wert der Dokument-ID" ma:description="Der Wert der diesem Element zugewiesenen Dokument-ID." ma:indexed="true" ma:internalName="_dlc_DocId" ma:readOnly="true">
      <xsd:simpleType>
        <xsd:restriction base="dms:Text"/>
      </xsd:simpleType>
    </xsd:element>
    <xsd:element name="_dlc_DocIdUrl" ma:index="25"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613588-b571-4bb4-80c5-037067077d89"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Bildmarkierungen" ma:readOnly="false" ma:fieldId="{5cf76f15-5ced-4ddc-b409-7134ff3c332f}" ma:taxonomyMulti="true" ma:sspId="020107af-191c-445d-bfa4-3fed7916d217" ma:termSetId="09814cd3-568e-fe90-9814-8d621ff8fb84" ma:anchorId="fba54fb3-c3e1-fe81-a776-ca4b69148c4d" ma:open="true" ma:isKeyword="false">
      <xsd:complexType>
        <xsd:sequence>
          <xsd:element ref="pc:Terms" minOccurs="0" maxOccurs="1"/>
        </xsd:sequence>
      </xsd:complex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oststelle xmlns="41e3d795-8705-4229-ae52-d44e348bb28c" xsi:nil="true"/>
    <StartdatumDSGVOBehaltefrist xmlns="15909d5e-1b51-4d5f-bae6-f3544bb622d4" xsi:nil="true"/>
    <LöschdatumDSGVO xmlns="15909d5e-1b51-4d5f-bae6-f3544bb622d4" xsi:nil="true"/>
    <lcf76f155ced4ddcb4097134ff3c332f xmlns="be613588-b571-4bb4-80c5-037067077d89">
      <Terms xmlns="http://schemas.microsoft.com/office/infopath/2007/PartnerControls"/>
    </lcf76f155ced4ddcb4097134ff3c332f>
    <dd9b864d7182421f9aa3279e954a1643 xmlns="41e3d795-8705-4229-ae52-d44e348bb28c">
      <Terms xmlns="http://schemas.microsoft.com/office/infopath/2007/PartnerControls">
        <TermInfo xmlns="http://schemas.microsoft.com/office/infopath/2007/PartnerControls">
          <TermName xmlns="http://schemas.microsoft.com/office/infopath/2007/PartnerControls">Allgemein</TermName>
          <TermId xmlns="http://schemas.microsoft.com/office/infopath/2007/PartnerControls">4c264b77-3718-4103-ae5e-af42e791c13f</TermId>
        </TermInfo>
      </Terms>
    </dd9b864d7182421f9aa3279e954a1643>
    <TaxCatchAll xmlns="41e3d795-8705-4229-ae52-d44e348bb28c">
      <Value>8</Value>
      <Value>7</Value>
    </TaxCatchAll>
    <Fremdsystemreferenzen xmlns="41e3d795-8705-4229-ae52-d44e348bb28c" xsi:nil="true"/>
    <EigeneReferenz xmlns="41e3d795-8705-4229-ae52-d44e348bb28c" xsi:nil="true"/>
    <Vertraulichkeit xmlns="41e3d795-8705-4229-ae52-d44e348bb28c" xsi:nil="true"/>
    <Dokumentgueltigbis xmlns="15909d5e-1b51-4d5f-bae6-f3544bb622d4" xsi:nil="true"/>
    <j9b1171293f2437f82e1015e83949080 xmlns="41e3d795-8705-4229-ae52-d44e348bb28c">
      <Terms xmlns="http://schemas.microsoft.com/office/infopath/2007/PartnerControls">
        <TermInfo xmlns="http://schemas.microsoft.com/office/infopath/2007/PartnerControls">
          <TermName xmlns="http://schemas.microsoft.com/office/infopath/2007/PartnerControls">Allgemeines Dokument</TermName>
          <TermId xmlns="http://schemas.microsoft.com/office/infopath/2007/PartnerControls">256c25dd-d6b9-4889-8d4b-4a032cb12aef</TermId>
        </TermInfo>
      </Terms>
    </j9b1171293f2437f82e1015e83949080>
    <Kundenreferenz xmlns="41e3d795-8705-4229-ae52-d44e348bb28c" xsi:nil="true"/>
    <FreiesMetadatenfeld xmlns="41e3d795-8705-4229-ae52-d44e348bb28c" xsi:nil="true"/>
    <Dokumentgueltigvon xmlns="15909d5e-1b51-4d5f-bae6-f3544bb622d4" xsi:nil="true"/>
    <_dlc_DocId xmlns="41e3d795-8705-4229-ae52-d44e348bb28c">MKM4C5H7TKHK-352036381-7503</_dlc_DocId>
    <_dlc_DocIdUrl xmlns="41e3d795-8705-4229-ae52-d44e348bb28c">
      <Url>https://wkonline.sharepoint.com/sites/wkoe-dms-oe-14165/_layouts/15/DocIdRedir.aspx?ID=MKM4C5H7TKHK-352036381-7503</Url>
      <Description>MKM4C5H7TKHK-352036381-7503</Description>
    </_dlc_DocIdUrl>
  </documentManagement>
</p:properties>
</file>

<file path=customXml/itemProps1.xml><?xml version="1.0" encoding="utf-8"?>
<ds:datastoreItem xmlns:ds="http://schemas.openxmlformats.org/officeDocument/2006/customXml" ds:itemID="{63ED71B0-621B-431E-8CA8-D74E3A358B28}">
  <ds:schemaRefs>
    <ds:schemaRef ds:uri="http://schemas.openxmlformats.org/officeDocument/2006/bibliography"/>
  </ds:schemaRefs>
</ds:datastoreItem>
</file>

<file path=customXml/itemProps2.xml><?xml version="1.0" encoding="utf-8"?>
<ds:datastoreItem xmlns:ds="http://schemas.openxmlformats.org/officeDocument/2006/customXml" ds:itemID="{ECADBF32-4973-4E4D-BDA7-9D4068ED0D5F}"/>
</file>

<file path=customXml/itemProps3.xml><?xml version="1.0" encoding="utf-8"?>
<ds:datastoreItem xmlns:ds="http://schemas.openxmlformats.org/officeDocument/2006/customXml" ds:itemID="{0AF9FE7D-C6BF-477C-B57B-D3F820E84CA0}"/>
</file>

<file path=customXml/itemProps4.xml><?xml version="1.0" encoding="utf-8"?>
<ds:datastoreItem xmlns:ds="http://schemas.openxmlformats.org/officeDocument/2006/customXml" ds:itemID="{C577A7BD-1A4B-4691-89C9-3DCB66D82313}"/>
</file>

<file path=customXml/itemProps5.xml><?xml version="1.0" encoding="utf-8"?>
<ds:datastoreItem xmlns:ds="http://schemas.openxmlformats.org/officeDocument/2006/customXml" ds:itemID="{7EF6BB1A-0253-4420-8126-631BC504D4C9}"/>
</file>

<file path=docProps/app.xml><?xml version="1.0" encoding="utf-8"?>
<Properties xmlns="http://schemas.openxmlformats.org/officeDocument/2006/extended-properties" xmlns:vt="http://schemas.openxmlformats.org/officeDocument/2006/docPropsVTypes">
  <Template>Normal.dotm</Template>
  <TotalTime>0</TotalTime>
  <Pages>3</Pages>
  <Words>2881</Words>
  <Characters>18154</Characters>
  <Application>Microsoft Office Word</Application>
  <DocSecurity>4</DocSecurity>
  <Lines>151</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20994</CharactersWithSpaces>
  <SharedDoc>false</SharedDoc>
  <HLinks>
    <vt:vector size="60" baseType="variant">
      <vt:variant>
        <vt:i4>543359080</vt:i4>
      </vt:variant>
      <vt:variant>
        <vt:i4>24</vt:i4>
      </vt:variant>
      <vt:variant>
        <vt:i4>0</vt:i4>
      </vt:variant>
      <vt:variant>
        <vt:i4>5</vt:i4>
      </vt:variant>
      <vt:variant>
        <vt:lpwstr>https://commission.europa.eu/document/download/e6d5db69-e0ab-4bec-9dc0-3867b4373019_en?filename=White%20paper%20for%20European%20defence%20–%20Readiness%202030.pdf</vt:lpwstr>
      </vt:variant>
      <vt:variant>
        <vt:lpwstr/>
      </vt:variant>
      <vt:variant>
        <vt:i4>7209065</vt:i4>
      </vt:variant>
      <vt:variant>
        <vt:i4>21</vt:i4>
      </vt:variant>
      <vt:variant>
        <vt:i4>0</vt:i4>
      </vt:variant>
      <vt:variant>
        <vt:i4>5</vt:i4>
      </vt:variant>
      <vt:variant>
        <vt:lpwstr>https://echa.europa.eu/documents/10162/d2bd9817-102b-f9b3-8023-a913678e849f</vt:lpwstr>
      </vt:variant>
      <vt:variant>
        <vt:lpwstr/>
      </vt:variant>
      <vt:variant>
        <vt:i4>7209065</vt:i4>
      </vt:variant>
      <vt:variant>
        <vt:i4>18</vt:i4>
      </vt:variant>
      <vt:variant>
        <vt:i4>0</vt:i4>
      </vt:variant>
      <vt:variant>
        <vt:i4>5</vt:i4>
      </vt:variant>
      <vt:variant>
        <vt:lpwstr>https://echa.europa.eu/documents/10162/d2bd9817-102b-f9b3-8023-a913678e849f</vt:lpwstr>
      </vt:variant>
      <vt:variant>
        <vt:lpwstr/>
      </vt:variant>
      <vt:variant>
        <vt:i4>7274600</vt:i4>
      </vt:variant>
      <vt:variant>
        <vt:i4>15</vt:i4>
      </vt:variant>
      <vt:variant>
        <vt:i4>0</vt:i4>
      </vt:variant>
      <vt:variant>
        <vt:i4>5</vt:i4>
      </vt:variant>
      <vt:variant>
        <vt:lpwstr>https://echa.europa.eu/documents/10162/00b6d85e-cf80-2a01-227a-7ce71111f653</vt:lpwstr>
      </vt:variant>
      <vt:variant>
        <vt:lpwstr/>
      </vt:variant>
      <vt:variant>
        <vt:i4>3407931</vt:i4>
      </vt:variant>
      <vt:variant>
        <vt:i4>12</vt:i4>
      </vt:variant>
      <vt:variant>
        <vt:i4>0</vt:i4>
      </vt:variant>
      <vt:variant>
        <vt:i4>5</vt:i4>
      </vt:variant>
      <vt:variant>
        <vt:lpwstr>https://echa.europa.eu/documents/10162/991a2616-f4c1-347d-976f-560c6c3b4213</vt:lpwstr>
      </vt:variant>
      <vt:variant>
        <vt:lpwstr/>
      </vt:variant>
      <vt:variant>
        <vt:i4>3211318</vt:i4>
      </vt:variant>
      <vt:variant>
        <vt:i4>9</vt:i4>
      </vt:variant>
      <vt:variant>
        <vt:i4>0</vt:i4>
      </vt:variant>
      <vt:variant>
        <vt:i4>5</vt:i4>
      </vt:variant>
      <vt:variant>
        <vt:lpwstr>https://echa.europa.eu/documents/10162/c0cb9178-9bc7-b4f3-1c25-0fda75b81fb1</vt:lpwstr>
      </vt:variant>
      <vt:variant>
        <vt:lpwstr/>
      </vt:variant>
      <vt:variant>
        <vt:i4>6881339</vt:i4>
      </vt:variant>
      <vt:variant>
        <vt:i4>6</vt:i4>
      </vt:variant>
      <vt:variant>
        <vt:i4>0</vt:i4>
      </vt:variant>
      <vt:variant>
        <vt:i4>5</vt:i4>
      </vt:variant>
      <vt:variant>
        <vt:lpwstr>https://echa.europa.eu/documents/10162/fc78f7e5-8f8a-de84-1141-499c5e021d31</vt:lpwstr>
      </vt:variant>
      <vt:variant>
        <vt:lpwstr/>
      </vt:variant>
      <vt:variant>
        <vt:i4>6357103</vt:i4>
      </vt:variant>
      <vt:variant>
        <vt:i4>3</vt:i4>
      </vt:variant>
      <vt:variant>
        <vt:i4>0</vt:i4>
      </vt:variant>
      <vt:variant>
        <vt:i4>5</vt:i4>
      </vt:variant>
      <vt:variant>
        <vt:lpwstr>https://www.echa.europa.eu/documents/10162/fb7a9167-7d65-dd4c-2aa2-b8182d4a8e37</vt:lpwstr>
      </vt:variant>
      <vt:variant>
        <vt:lpwstr/>
      </vt:variant>
      <vt:variant>
        <vt:i4>589828</vt:i4>
      </vt:variant>
      <vt:variant>
        <vt:i4>3</vt:i4>
      </vt:variant>
      <vt:variant>
        <vt:i4>0</vt:i4>
      </vt:variant>
      <vt:variant>
        <vt:i4>5</vt:i4>
      </vt:variant>
      <vt:variant>
        <vt:lpwstr>https://webgate.ec.europa.eu/fpfis/wikis/spaces/dap/pages/343284722/Rules+on+citing+Acts+of+the+Union</vt:lpwstr>
      </vt:variant>
      <vt:variant>
        <vt:lpwstr/>
      </vt:variant>
      <vt:variant>
        <vt:i4>589828</vt:i4>
      </vt:variant>
      <vt:variant>
        <vt:i4>0</vt:i4>
      </vt:variant>
      <vt:variant>
        <vt:i4>0</vt:i4>
      </vt:variant>
      <vt:variant>
        <vt:i4>5</vt:i4>
      </vt:variant>
      <vt:variant>
        <vt:lpwstr>https://webgate.ec.europa.eu/fpfis/wikis/spaces/dap/pages/343284722/Rules+on+citing+Acts+of+the+Union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2026-04-17T07:07:00Z</dcterms:created>
  <dcterms:modified xsi:type="dcterms:W3CDTF">2026-04-17T07:07:00Z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0x01010072106C75DA210C4E824231966115F8F700DF54991FAE5CEB488FF85765B45DFB99</vt:lpwstr>
  </property>
  <property fmtid="{D5CDD505-2E9C-101B-9397-08002B2CF9AE}" pid="3" name="_dlc_DocIdItemGuid">
    <vt:lpwstr>e0f70626-2fc3-4067-b951-4bf0710a21d7</vt:lpwstr>
  </property>
  <property fmtid="{D5CDD505-2E9C-101B-9397-08002B2CF9AE}" pid="4" name="Taetigkeitsbereich">
    <vt:lpwstr>7;#Allgemein|4c264b77-3718-4103-ae5e-af42e791c13f</vt:lpwstr>
  </property>
  <property fmtid="{D5CDD505-2E9C-101B-9397-08002B2CF9AE}" pid="5" name="MediaServiceImageTags">
    <vt:lpwstr/>
  </property>
  <property fmtid="{D5CDD505-2E9C-101B-9397-08002B2CF9AE}" pid="6" name="Dokumentenart">
    <vt:lpwstr>8;#Allgemeines Dokument|256c25dd-d6b9-4889-8d4b-4a032cb12aef</vt:lpwstr>
  </property>
</Properties>
</file>