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49F" w:rsidRPr="00F77FFD" w:rsidRDefault="00F5049F" w:rsidP="00F5049F">
      <w:pPr>
        <w:spacing w:after="0"/>
        <w:jc w:val="center"/>
        <w:rPr>
          <w:rFonts w:ascii="Times New Roman" w:hAnsi="Times New Roman"/>
          <w:b/>
          <w:sz w:val="24"/>
          <w:szCs w:val="24"/>
          <w:u w:val="single"/>
        </w:rPr>
      </w:pPr>
      <w:r w:rsidRPr="00F77FFD">
        <w:rPr>
          <w:rFonts w:ascii="Times New Roman" w:hAnsi="Times New Roman"/>
          <w:b/>
          <w:sz w:val="24"/>
          <w:szCs w:val="24"/>
          <w:u w:val="single"/>
        </w:rPr>
        <w:t>Detailed Explanation</w:t>
      </w:r>
    </w:p>
    <w:p w:rsidR="00F5049F" w:rsidRPr="00F77FFD" w:rsidRDefault="00F5049F" w:rsidP="00F5049F">
      <w:pPr>
        <w:spacing w:after="0"/>
        <w:jc w:val="center"/>
        <w:rPr>
          <w:rFonts w:ascii="Times New Roman" w:hAnsi="Times New Roman"/>
          <w:b/>
          <w:sz w:val="24"/>
          <w:szCs w:val="24"/>
        </w:rPr>
      </w:pPr>
    </w:p>
    <w:p w:rsidR="00F5049F" w:rsidRPr="00F77FFD" w:rsidRDefault="00F5049F" w:rsidP="00F5049F">
      <w:pPr>
        <w:spacing w:after="0"/>
        <w:jc w:val="center"/>
        <w:rPr>
          <w:rFonts w:ascii="Times New Roman" w:hAnsi="Times New Roman"/>
          <w:b/>
          <w:sz w:val="24"/>
          <w:szCs w:val="24"/>
        </w:rPr>
      </w:pPr>
      <w:proofErr w:type="gramStart"/>
      <w:r w:rsidRPr="00F77FFD">
        <w:rPr>
          <w:rFonts w:ascii="Times New Roman" w:hAnsi="Times New Roman"/>
          <w:b/>
          <w:sz w:val="24"/>
          <w:szCs w:val="24"/>
        </w:rPr>
        <w:t>accompanying</w:t>
      </w:r>
      <w:proofErr w:type="gramEnd"/>
      <w:r w:rsidRPr="00F77FFD">
        <w:rPr>
          <w:rFonts w:ascii="Times New Roman" w:hAnsi="Times New Roman"/>
          <w:b/>
          <w:sz w:val="24"/>
          <w:szCs w:val="24"/>
        </w:rPr>
        <w:t xml:space="preserve"> draft COMMISSION REGULATION (EU) No …/.. </w:t>
      </w:r>
      <w:proofErr w:type="gramStart"/>
      <w:r w:rsidRPr="00F77FFD">
        <w:rPr>
          <w:rFonts w:ascii="Times New Roman" w:hAnsi="Times New Roman"/>
          <w:b/>
          <w:sz w:val="24"/>
          <w:szCs w:val="24"/>
        </w:rPr>
        <w:t>of</w:t>
      </w:r>
      <w:proofErr w:type="gramEnd"/>
      <w:r w:rsidRPr="00F77FFD">
        <w:rPr>
          <w:rFonts w:ascii="Times New Roman" w:hAnsi="Times New Roman"/>
          <w:b/>
          <w:sz w:val="24"/>
          <w:szCs w:val="24"/>
        </w:rPr>
        <w:t xml:space="preserve"> XXX</w:t>
      </w:r>
    </w:p>
    <w:p w:rsidR="00F5049F" w:rsidRPr="00F77FFD" w:rsidRDefault="00F5049F" w:rsidP="00F5049F">
      <w:pPr>
        <w:spacing w:after="360"/>
        <w:jc w:val="center"/>
        <w:rPr>
          <w:b/>
        </w:rPr>
      </w:pPr>
      <w:proofErr w:type="gramStart"/>
      <w:r w:rsidRPr="00F77FFD">
        <w:rPr>
          <w:rFonts w:ascii="Times New Roman" w:hAnsi="Times New Roman"/>
          <w:b/>
          <w:sz w:val="24"/>
          <w:szCs w:val="24"/>
        </w:rPr>
        <w:t>amending</w:t>
      </w:r>
      <w:proofErr w:type="gramEnd"/>
      <w:r w:rsidRPr="00F77FFD">
        <w:rPr>
          <w:rFonts w:ascii="Times New Roman" w:hAnsi="Times New Roman"/>
          <w:b/>
          <w:sz w:val="24"/>
          <w:szCs w:val="24"/>
        </w:rPr>
        <w:t xml:space="preserve"> Annex XVII to Regulation (EC) No 1907/2006 of the European Parliament and of the Council as regards lead and its compounds in PVC</w:t>
      </w:r>
    </w:p>
    <w:p w:rsidR="00F5049F" w:rsidRPr="00F77FFD" w:rsidRDefault="00F5049F" w:rsidP="00F5049F">
      <w:pPr>
        <w:jc w:val="both"/>
        <w:rPr>
          <w:rFonts w:ascii="Times New Roman" w:hAnsi="Times New Roman"/>
          <w:sz w:val="24"/>
          <w:szCs w:val="24"/>
          <w:lang w:eastAsia="en-GB"/>
        </w:rPr>
      </w:pPr>
      <w:r w:rsidRPr="00F77FFD">
        <w:rPr>
          <w:rFonts w:ascii="Times New Roman" w:hAnsi="Times New Roman"/>
          <w:sz w:val="24"/>
          <w:szCs w:val="24"/>
          <w:lang w:eastAsia="en-GB"/>
        </w:rPr>
        <w:t>Article 73(1) second subparagraph of the REACH Regulation requires the Commission to give a detailed explanation of the reasons why the draft amendment to Annex XVII diverges from the original proposal (‘Annex XV dossier’) of the dossier submitter or does not take the opinions from the European Chemicals Agency’s (‘the Agency’) scientific committees into account.</w:t>
      </w:r>
    </w:p>
    <w:p w:rsidR="00F5049F" w:rsidRPr="00F77FFD" w:rsidRDefault="00F5049F" w:rsidP="00F5049F">
      <w:pPr>
        <w:pStyle w:val="ListParagraph"/>
        <w:numPr>
          <w:ilvl w:val="0"/>
          <w:numId w:val="3"/>
        </w:numPr>
        <w:autoSpaceDE w:val="0"/>
        <w:autoSpaceDN w:val="0"/>
        <w:adjustRightInd w:val="0"/>
        <w:spacing w:before="240" w:after="120" w:line="240" w:lineRule="auto"/>
        <w:ind w:left="714" w:hanging="357"/>
        <w:jc w:val="both"/>
        <w:rPr>
          <w:rFonts w:ascii="Times New Roman" w:hAnsi="Times New Roman"/>
          <w:b/>
          <w:i/>
          <w:sz w:val="24"/>
          <w:szCs w:val="24"/>
          <w:lang w:eastAsia="en-GB"/>
        </w:rPr>
      </w:pPr>
      <w:r w:rsidRPr="00F77FFD">
        <w:rPr>
          <w:rFonts w:ascii="Times New Roman" w:hAnsi="Times New Roman"/>
          <w:b/>
          <w:i/>
          <w:sz w:val="24"/>
          <w:szCs w:val="24"/>
          <w:lang w:eastAsia="en-GB"/>
        </w:rPr>
        <w:t xml:space="preserve">Divergences from the original Annex XV dossier proposal </w:t>
      </w:r>
    </w:p>
    <w:p w:rsidR="00F5049F" w:rsidRPr="003A17E4" w:rsidRDefault="00F5049F" w:rsidP="00F5049F">
      <w:pPr>
        <w:jc w:val="both"/>
        <w:rPr>
          <w:rFonts w:ascii="Times New Roman" w:hAnsi="Times New Roman"/>
          <w:sz w:val="24"/>
          <w:szCs w:val="24"/>
          <w:lang w:eastAsia="en-GB"/>
        </w:rPr>
      </w:pPr>
      <w:r w:rsidRPr="00F77FFD">
        <w:rPr>
          <w:rFonts w:ascii="Times New Roman" w:hAnsi="Times New Roman"/>
          <w:sz w:val="24"/>
          <w:szCs w:val="24"/>
          <w:lang w:eastAsia="en-GB"/>
        </w:rPr>
        <w:t xml:space="preserve">During the opinion-making process on the Annex XV dossier, the Agency’s scientific Committees – the Committee for Risk Assessment (‘RAC’) and the Committee for Socio-economic Analysis (‘SEAC’) – and the Forum for the Exchange of Information on </w:t>
      </w:r>
      <w:r w:rsidRPr="003A17E4">
        <w:rPr>
          <w:rFonts w:ascii="Times New Roman" w:hAnsi="Times New Roman"/>
          <w:sz w:val="24"/>
          <w:szCs w:val="24"/>
          <w:lang w:eastAsia="en-GB"/>
        </w:rPr>
        <w:t xml:space="preserve">Enforcement (‘the Forum’) recommended several changes to the restriction wording proposed in the Annex XV dossier. The Commission decided to include the following recommended changes in the draft amendment to Annex XVII: </w:t>
      </w:r>
    </w:p>
    <w:p w:rsidR="00F5049F" w:rsidRPr="003A17E4" w:rsidRDefault="00F5049F" w:rsidP="00F5049F">
      <w:pPr>
        <w:pStyle w:val="ListParagraph"/>
        <w:numPr>
          <w:ilvl w:val="0"/>
          <w:numId w:val="2"/>
        </w:numPr>
        <w:spacing w:after="0"/>
        <w:contextualSpacing w:val="0"/>
        <w:jc w:val="both"/>
        <w:rPr>
          <w:rFonts w:ascii="Times New Roman" w:hAnsi="Times New Roman"/>
          <w:sz w:val="24"/>
          <w:szCs w:val="24"/>
        </w:rPr>
      </w:pPr>
      <w:r w:rsidRPr="003A17E4">
        <w:rPr>
          <w:rFonts w:ascii="Times New Roman" w:hAnsi="Times New Roman"/>
          <w:sz w:val="24"/>
          <w:szCs w:val="24"/>
        </w:rPr>
        <w:t xml:space="preserve">In the derogation for articles containing recovered rigid PVC, different provisions are laid down for articles used in: </w:t>
      </w:r>
    </w:p>
    <w:p w:rsidR="00F5049F" w:rsidRPr="003A17E4" w:rsidRDefault="00F5049F" w:rsidP="00F5049F">
      <w:pPr>
        <w:pStyle w:val="ListParagraph"/>
        <w:spacing w:after="120"/>
        <w:jc w:val="both"/>
        <w:rPr>
          <w:rFonts w:ascii="Times New Roman" w:hAnsi="Times New Roman"/>
          <w:sz w:val="24"/>
          <w:szCs w:val="24"/>
        </w:rPr>
      </w:pPr>
      <w:r w:rsidRPr="003A17E4">
        <w:rPr>
          <w:rFonts w:ascii="Times New Roman" w:hAnsi="Times New Roman"/>
          <w:sz w:val="24"/>
          <w:szCs w:val="24"/>
        </w:rPr>
        <w:t xml:space="preserve">- </w:t>
      </w:r>
      <w:proofErr w:type="gramStart"/>
      <w:r w:rsidRPr="003A17E4">
        <w:rPr>
          <w:rFonts w:ascii="Times New Roman" w:hAnsi="Times New Roman"/>
          <w:sz w:val="24"/>
          <w:szCs w:val="24"/>
        </w:rPr>
        <w:t>exterior</w:t>
      </w:r>
      <w:proofErr w:type="gramEnd"/>
      <w:r w:rsidRPr="003A17E4">
        <w:rPr>
          <w:rFonts w:ascii="Times New Roman" w:hAnsi="Times New Roman"/>
          <w:sz w:val="24"/>
          <w:szCs w:val="24"/>
        </w:rPr>
        <w:t xml:space="preserve"> applications in buildings and civil engineering works;</w:t>
      </w:r>
    </w:p>
    <w:p w:rsidR="00F5049F" w:rsidRPr="003A17E4" w:rsidRDefault="00F5049F" w:rsidP="00F5049F">
      <w:pPr>
        <w:pStyle w:val="ListParagraph"/>
        <w:spacing w:after="120"/>
        <w:jc w:val="both"/>
        <w:rPr>
          <w:rFonts w:ascii="Times New Roman" w:hAnsi="Times New Roman"/>
          <w:sz w:val="24"/>
          <w:szCs w:val="24"/>
        </w:rPr>
      </w:pPr>
      <w:r w:rsidRPr="003A17E4">
        <w:rPr>
          <w:rFonts w:ascii="Times New Roman" w:hAnsi="Times New Roman"/>
          <w:sz w:val="24"/>
          <w:szCs w:val="24"/>
        </w:rPr>
        <w:t xml:space="preserve">- </w:t>
      </w:r>
      <w:proofErr w:type="gramStart"/>
      <w:r w:rsidRPr="003A17E4">
        <w:rPr>
          <w:rFonts w:ascii="Times New Roman" w:hAnsi="Times New Roman"/>
          <w:sz w:val="24"/>
          <w:szCs w:val="24"/>
        </w:rPr>
        <w:t>interior</w:t>
      </w:r>
      <w:proofErr w:type="gramEnd"/>
      <w:r w:rsidRPr="003A17E4">
        <w:rPr>
          <w:rFonts w:ascii="Times New Roman" w:hAnsi="Times New Roman"/>
          <w:sz w:val="24"/>
          <w:szCs w:val="24"/>
        </w:rPr>
        <w:t xml:space="preserve"> building applications;</w:t>
      </w:r>
    </w:p>
    <w:p w:rsidR="00F5049F" w:rsidRPr="003A17E4" w:rsidRDefault="00F5049F" w:rsidP="00F5049F">
      <w:pPr>
        <w:pStyle w:val="ListParagraph"/>
        <w:spacing w:after="120"/>
        <w:jc w:val="both"/>
        <w:rPr>
          <w:rFonts w:ascii="Times New Roman" w:hAnsi="Times New Roman"/>
          <w:sz w:val="24"/>
          <w:szCs w:val="24"/>
        </w:rPr>
      </w:pPr>
      <w:r w:rsidRPr="003A17E4">
        <w:rPr>
          <w:rFonts w:ascii="Times New Roman" w:hAnsi="Times New Roman"/>
          <w:sz w:val="24"/>
          <w:szCs w:val="24"/>
        </w:rPr>
        <w:t xml:space="preserve">- </w:t>
      </w:r>
      <w:proofErr w:type="gramStart"/>
      <w:r w:rsidRPr="003A17E4">
        <w:rPr>
          <w:rFonts w:ascii="Times New Roman" w:hAnsi="Times New Roman"/>
          <w:sz w:val="24"/>
          <w:szCs w:val="24"/>
        </w:rPr>
        <w:t>parts</w:t>
      </w:r>
      <w:proofErr w:type="gramEnd"/>
      <w:r w:rsidRPr="003A17E4">
        <w:rPr>
          <w:rFonts w:ascii="Times New Roman" w:hAnsi="Times New Roman"/>
          <w:sz w:val="24"/>
          <w:szCs w:val="24"/>
        </w:rPr>
        <w:t xml:space="preserve"> of buildings, external or internal, which are accessible by people during normal use (e.g. because they face the occupied areas of a building);</w:t>
      </w:r>
    </w:p>
    <w:p w:rsidR="00F5049F" w:rsidRPr="003A17E4" w:rsidRDefault="00F5049F" w:rsidP="00F5049F">
      <w:pPr>
        <w:pStyle w:val="ListParagraph"/>
        <w:spacing w:after="120"/>
        <w:jc w:val="both"/>
        <w:rPr>
          <w:rFonts w:ascii="Times New Roman" w:hAnsi="Times New Roman"/>
          <w:sz w:val="24"/>
          <w:szCs w:val="24"/>
        </w:rPr>
      </w:pPr>
      <w:r w:rsidRPr="003A17E4">
        <w:rPr>
          <w:rFonts w:ascii="Times New Roman" w:hAnsi="Times New Roman"/>
          <w:sz w:val="24"/>
          <w:szCs w:val="24"/>
        </w:rPr>
        <w:t xml:space="preserve">- </w:t>
      </w:r>
      <w:proofErr w:type="gramStart"/>
      <w:r w:rsidRPr="003A17E4">
        <w:rPr>
          <w:rFonts w:ascii="Times New Roman" w:hAnsi="Times New Roman"/>
          <w:sz w:val="24"/>
          <w:szCs w:val="24"/>
        </w:rPr>
        <w:t>parts</w:t>
      </w:r>
      <w:proofErr w:type="gramEnd"/>
      <w:r w:rsidRPr="003A17E4">
        <w:rPr>
          <w:rFonts w:ascii="Times New Roman" w:hAnsi="Times New Roman"/>
          <w:sz w:val="24"/>
          <w:szCs w:val="24"/>
        </w:rPr>
        <w:t xml:space="preserve"> of buildings, external or internal, which are inaccessible by people during normal use (e.g. because placed in concealed spaces or voids); </w:t>
      </w:r>
    </w:p>
    <w:p w:rsidR="00F5049F" w:rsidRPr="003A17E4" w:rsidRDefault="00F5049F" w:rsidP="00F5049F">
      <w:pPr>
        <w:pStyle w:val="ListParagraph"/>
        <w:spacing w:after="120"/>
        <w:ind w:left="360"/>
        <w:contextualSpacing w:val="0"/>
        <w:jc w:val="both"/>
        <w:rPr>
          <w:rFonts w:ascii="Times New Roman" w:hAnsi="Times New Roman"/>
          <w:sz w:val="24"/>
          <w:szCs w:val="24"/>
        </w:rPr>
      </w:pPr>
      <w:proofErr w:type="gramStart"/>
      <w:r w:rsidRPr="003A17E4">
        <w:rPr>
          <w:rFonts w:ascii="Times New Roman" w:hAnsi="Times New Roman"/>
          <w:sz w:val="24"/>
          <w:szCs w:val="24"/>
        </w:rPr>
        <w:t>the rationale is to reflect the different potential of those articles to result in human exposure during their service lives, both indirectly (via the environment) and directly (through the potential to form dusts from polymer degradation and abrasion); “occupied” is interpreted to mean any part of a building that is intended to be occupied by people (e.g. residential, commercial, industrial, etc.); civil engineering works include bridges, dams, etc., that are not specifically designed for occupancy as such, but which could use PVC materials in their construction;</w:t>
      </w:r>
      <w:proofErr w:type="gramEnd"/>
    </w:p>
    <w:p w:rsidR="00F5049F" w:rsidRPr="003A17E4" w:rsidRDefault="00F5049F" w:rsidP="00F5049F">
      <w:pPr>
        <w:pStyle w:val="ListParagraph"/>
        <w:numPr>
          <w:ilvl w:val="0"/>
          <w:numId w:val="2"/>
        </w:numPr>
        <w:spacing w:after="120"/>
        <w:contextualSpacing w:val="0"/>
        <w:jc w:val="both"/>
        <w:rPr>
          <w:rFonts w:ascii="Times New Roman" w:hAnsi="Times New Roman"/>
          <w:sz w:val="24"/>
          <w:szCs w:val="24"/>
        </w:rPr>
      </w:pPr>
      <w:r w:rsidRPr="003A17E4">
        <w:rPr>
          <w:rFonts w:ascii="Times New Roman" w:hAnsi="Times New Roman"/>
          <w:sz w:val="24"/>
          <w:szCs w:val="24"/>
        </w:rPr>
        <w:t xml:space="preserve">The condition that the recovered PVC must be fully encapsulated by newly produced PVC or other material is </w:t>
      </w:r>
      <w:r>
        <w:rPr>
          <w:rFonts w:ascii="Times New Roman" w:hAnsi="Times New Roman"/>
          <w:sz w:val="24"/>
          <w:szCs w:val="24"/>
        </w:rPr>
        <w:t>added to</w:t>
      </w:r>
      <w:r w:rsidRPr="003A17E4">
        <w:rPr>
          <w:rFonts w:ascii="Times New Roman" w:hAnsi="Times New Roman"/>
          <w:sz w:val="24"/>
          <w:szCs w:val="24"/>
        </w:rPr>
        <w:t xml:space="preserve"> the derogation for articles containing recovered rigid PVC for use in areas of buildings accessible by people during normal use; the rationale is to prevent human exposure to lead possibly leaching out of the article or to lead-containing dusts forming during article service life; encapsulation technology is already widely practiced by manufacturers of PVC windows and other PVC profiles;</w:t>
      </w:r>
    </w:p>
    <w:p w:rsidR="00F5049F" w:rsidRPr="00F77FFD" w:rsidRDefault="00F5049F" w:rsidP="00F5049F">
      <w:pPr>
        <w:pStyle w:val="ListParagraph"/>
        <w:numPr>
          <w:ilvl w:val="0"/>
          <w:numId w:val="2"/>
        </w:numPr>
        <w:spacing w:after="120"/>
        <w:contextualSpacing w:val="0"/>
        <w:jc w:val="both"/>
        <w:rPr>
          <w:rFonts w:ascii="Times New Roman" w:hAnsi="Times New Roman"/>
          <w:sz w:val="24"/>
          <w:szCs w:val="24"/>
        </w:rPr>
      </w:pPr>
      <w:r>
        <w:rPr>
          <w:rFonts w:ascii="Times New Roman" w:hAnsi="Times New Roman"/>
          <w:sz w:val="24"/>
          <w:szCs w:val="24"/>
        </w:rPr>
        <w:t xml:space="preserve">The scope of the derogation for fittings containing </w:t>
      </w:r>
      <w:r w:rsidRPr="003A17E4">
        <w:rPr>
          <w:rFonts w:ascii="Times New Roman" w:hAnsi="Times New Roman"/>
          <w:sz w:val="24"/>
          <w:szCs w:val="24"/>
        </w:rPr>
        <w:t xml:space="preserve">recovered PVC </w:t>
      </w:r>
      <w:r>
        <w:rPr>
          <w:rFonts w:ascii="Times New Roman" w:hAnsi="Times New Roman"/>
          <w:sz w:val="24"/>
          <w:szCs w:val="24"/>
        </w:rPr>
        <w:t>was expanded to a</w:t>
      </w:r>
      <w:r w:rsidRPr="00F77FFD">
        <w:rPr>
          <w:rFonts w:ascii="Times New Roman" w:hAnsi="Times New Roman"/>
          <w:sz w:val="24"/>
          <w:szCs w:val="24"/>
        </w:rPr>
        <w:t>ll fittings</w:t>
      </w:r>
      <w:r>
        <w:rPr>
          <w:rFonts w:ascii="Times New Roman" w:hAnsi="Times New Roman"/>
          <w:sz w:val="24"/>
          <w:szCs w:val="24"/>
        </w:rPr>
        <w:t>,</w:t>
      </w:r>
      <w:r w:rsidRPr="00F77FFD">
        <w:rPr>
          <w:rFonts w:ascii="Times New Roman" w:hAnsi="Times New Roman"/>
          <w:sz w:val="24"/>
          <w:szCs w:val="24"/>
        </w:rPr>
        <w:t xml:space="preserve"> except those for pipes for drinking water</w:t>
      </w:r>
      <w:r>
        <w:rPr>
          <w:rFonts w:ascii="Times New Roman" w:hAnsi="Times New Roman"/>
          <w:sz w:val="24"/>
          <w:szCs w:val="24"/>
        </w:rPr>
        <w:t>; i</w:t>
      </w:r>
      <w:r w:rsidRPr="00F77FFD">
        <w:rPr>
          <w:rFonts w:ascii="Times New Roman" w:hAnsi="Times New Roman"/>
          <w:sz w:val="24"/>
          <w:szCs w:val="24"/>
        </w:rPr>
        <w:t xml:space="preserve">t is assumed that they have limited </w:t>
      </w:r>
      <w:r w:rsidRPr="00F77FFD">
        <w:rPr>
          <w:rFonts w:ascii="Times New Roman" w:hAnsi="Times New Roman"/>
          <w:sz w:val="24"/>
          <w:szCs w:val="24"/>
        </w:rPr>
        <w:lastRenderedPageBreak/>
        <w:t xml:space="preserve">potential for human exposure during their service life, as they are either not accessible to users under normal conditions of use (e.g. if they are present in internal parts of a more complex product) and/or these are small articles, implying a limited potential for exposure; </w:t>
      </w:r>
    </w:p>
    <w:p w:rsidR="00F5049F" w:rsidRPr="00F77FFD" w:rsidRDefault="00F5049F" w:rsidP="00F5049F">
      <w:pPr>
        <w:pStyle w:val="ListParagraph"/>
        <w:numPr>
          <w:ilvl w:val="0"/>
          <w:numId w:val="2"/>
        </w:numPr>
        <w:ind w:left="357" w:hanging="357"/>
        <w:contextualSpacing w:val="0"/>
        <w:jc w:val="both"/>
        <w:rPr>
          <w:rFonts w:ascii="Times New Roman" w:hAnsi="Times New Roman"/>
          <w:sz w:val="24"/>
          <w:szCs w:val="24"/>
        </w:rPr>
      </w:pPr>
      <w:r w:rsidRPr="00F77FFD">
        <w:rPr>
          <w:rFonts w:ascii="Times New Roman" w:hAnsi="Times New Roman"/>
          <w:sz w:val="24"/>
          <w:szCs w:val="24"/>
        </w:rPr>
        <w:t xml:space="preserve">A requirement for labelling using a pictogram </w:t>
      </w:r>
      <w:proofErr w:type="gramStart"/>
      <w:r w:rsidRPr="00F77FFD">
        <w:rPr>
          <w:rFonts w:ascii="Times New Roman" w:hAnsi="Times New Roman"/>
          <w:sz w:val="24"/>
          <w:szCs w:val="24"/>
        </w:rPr>
        <w:t>is removed</w:t>
      </w:r>
      <w:proofErr w:type="gramEnd"/>
      <w:r w:rsidRPr="00F77FFD">
        <w:rPr>
          <w:rFonts w:ascii="Times New Roman" w:hAnsi="Times New Roman"/>
          <w:sz w:val="24"/>
          <w:szCs w:val="24"/>
        </w:rPr>
        <w:t xml:space="preserve"> (as it only indicated that recovered material was used, rather than that the recovered material contained lead).</w:t>
      </w:r>
    </w:p>
    <w:p w:rsidR="00F5049F" w:rsidRPr="00F77FFD" w:rsidRDefault="00F5049F" w:rsidP="00F5049F">
      <w:pPr>
        <w:pStyle w:val="ListParagraph"/>
        <w:numPr>
          <w:ilvl w:val="0"/>
          <w:numId w:val="3"/>
        </w:numPr>
        <w:autoSpaceDE w:val="0"/>
        <w:autoSpaceDN w:val="0"/>
        <w:adjustRightInd w:val="0"/>
        <w:spacing w:after="0" w:line="240" w:lineRule="auto"/>
        <w:rPr>
          <w:rFonts w:ascii="Times New Roman" w:hAnsi="Times New Roman"/>
          <w:b/>
          <w:i/>
          <w:color w:val="000000"/>
          <w:sz w:val="24"/>
          <w:szCs w:val="24"/>
          <w:lang w:eastAsia="en-GB"/>
        </w:rPr>
      </w:pPr>
      <w:r w:rsidRPr="00F77FFD">
        <w:rPr>
          <w:rFonts w:ascii="Times New Roman" w:hAnsi="Times New Roman"/>
          <w:b/>
          <w:i/>
          <w:color w:val="000000"/>
          <w:sz w:val="24"/>
          <w:szCs w:val="24"/>
          <w:lang w:eastAsia="en-GB"/>
        </w:rPr>
        <w:t xml:space="preserve">Divergences from the ECHA Committees opinions  </w:t>
      </w:r>
    </w:p>
    <w:p w:rsidR="00F5049F" w:rsidRPr="00F77FFD" w:rsidRDefault="00F5049F" w:rsidP="00F5049F">
      <w:pPr>
        <w:pStyle w:val="ListParagraph"/>
        <w:autoSpaceDE w:val="0"/>
        <w:autoSpaceDN w:val="0"/>
        <w:adjustRightInd w:val="0"/>
        <w:spacing w:after="0" w:line="240" w:lineRule="auto"/>
        <w:rPr>
          <w:rFonts w:ascii="Times New Roman" w:hAnsi="Times New Roman"/>
          <w:sz w:val="24"/>
          <w:szCs w:val="24"/>
          <w:lang w:eastAsia="en-GB"/>
        </w:rPr>
      </w:pPr>
    </w:p>
    <w:p w:rsidR="00F5049F" w:rsidRPr="00F77FFD" w:rsidRDefault="00F5049F" w:rsidP="00F5049F">
      <w:pPr>
        <w:jc w:val="both"/>
        <w:rPr>
          <w:rFonts w:ascii="Times New Roman" w:hAnsi="Times New Roman"/>
          <w:sz w:val="24"/>
          <w:szCs w:val="24"/>
          <w:lang w:eastAsia="en-GB"/>
        </w:rPr>
      </w:pPr>
      <w:r w:rsidRPr="00F77FFD">
        <w:rPr>
          <w:rFonts w:ascii="Times New Roman" w:hAnsi="Times New Roman"/>
          <w:sz w:val="24"/>
          <w:szCs w:val="24"/>
          <w:lang w:eastAsia="en-GB"/>
        </w:rPr>
        <w:t>Furthermore, in drafting the proposed amendment to Annex XVII, the Commission adapted, or deviated from, the opinions of RAC and SEAC in a number of points:</w:t>
      </w:r>
    </w:p>
    <w:p w:rsidR="00F5049F" w:rsidRPr="00F77FFD" w:rsidRDefault="00F5049F" w:rsidP="00F5049F">
      <w:pPr>
        <w:pStyle w:val="ListParagraph"/>
        <w:numPr>
          <w:ilvl w:val="0"/>
          <w:numId w:val="4"/>
        </w:numPr>
        <w:spacing w:after="120"/>
        <w:jc w:val="both"/>
        <w:rPr>
          <w:rFonts w:ascii="Times New Roman" w:hAnsi="Times New Roman"/>
          <w:sz w:val="24"/>
          <w:szCs w:val="24"/>
        </w:rPr>
      </w:pPr>
      <w:r w:rsidRPr="00F77FFD">
        <w:rPr>
          <w:rFonts w:ascii="Times New Roman" w:hAnsi="Times New Roman"/>
          <w:sz w:val="24"/>
          <w:szCs w:val="24"/>
        </w:rPr>
        <w:t>In an effort to reduce the carry-over of legacy lead into new PVC articles, the proposed derogation</w:t>
      </w:r>
      <w:r>
        <w:rPr>
          <w:rFonts w:ascii="Times New Roman" w:hAnsi="Times New Roman"/>
          <w:sz w:val="24"/>
          <w:szCs w:val="24"/>
        </w:rPr>
        <w:t xml:space="preserve"> allowing higher lead content in </w:t>
      </w:r>
      <w:r w:rsidRPr="00F77FFD">
        <w:rPr>
          <w:rFonts w:ascii="Times New Roman" w:hAnsi="Times New Roman"/>
          <w:sz w:val="24"/>
          <w:szCs w:val="24"/>
        </w:rPr>
        <w:t>recovered flexible PVC is not included;</w:t>
      </w:r>
    </w:p>
    <w:p w:rsidR="00F5049F" w:rsidRPr="00F77FFD" w:rsidRDefault="00F5049F" w:rsidP="00F5049F">
      <w:pPr>
        <w:pStyle w:val="ListParagraph"/>
        <w:numPr>
          <w:ilvl w:val="0"/>
          <w:numId w:val="4"/>
        </w:numPr>
        <w:spacing w:after="120"/>
        <w:contextualSpacing w:val="0"/>
        <w:jc w:val="both"/>
        <w:rPr>
          <w:rFonts w:ascii="Times New Roman" w:hAnsi="Times New Roman"/>
          <w:sz w:val="24"/>
          <w:szCs w:val="24"/>
        </w:rPr>
      </w:pPr>
      <w:r w:rsidRPr="00F77FFD">
        <w:rPr>
          <w:rFonts w:ascii="Times New Roman" w:hAnsi="Times New Roman"/>
          <w:sz w:val="24"/>
          <w:szCs w:val="24"/>
        </w:rPr>
        <w:t xml:space="preserve">To reflect up-to-date information </w:t>
      </w:r>
      <w:r>
        <w:rPr>
          <w:rFonts w:ascii="Times New Roman" w:hAnsi="Times New Roman"/>
          <w:sz w:val="24"/>
          <w:szCs w:val="24"/>
        </w:rPr>
        <w:t xml:space="preserve">from </w:t>
      </w:r>
      <w:r w:rsidRPr="00F77FFD">
        <w:rPr>
          <w:rFonts w:ascii="Times New Roman" w:hAnsi="Times New Roman"/>
          <w:sz w:val="24"/>
          <w:szCs w:val="24"/>
        </w:rPr>
        <w:t xml:space="preserve">industry on the current lead content </w:t>
      </w:r>
      <w:r>
        <w:rPr>
          <w:rFonts w:ascii="Times New Roman" w:hAnsi="Times New Roman"/>
          <w:sz w:val="24"/>
          <w:szCs w:val="24"/>
        </w:rPr>
        <w:t>of</w:t>
      </w:r>
      <w:r w:rsidRPr="00F77FFD">
        <w:rPr>
          <w:rFonts w:ascii="Times New Roman" w:hAnsi="Times New Roman"/>
          <w:sz w:val="24"/>
          <w:szCs w:val="24"/>
        </w:rPr>
        <w:t xml:space="preserve"> PVC recyclate, and in an effort to reduce the carry-over of legacy lead into new PVC articles while still preserving some recycling of PVC waste, the conditions of the proposed derogation for recovered rigid PVC are tightened as follows: </w:t>
      </w:r>
    </w:p>
    <w:p w:rsidR="00F5049F" w:rsidRPr="00F77FFD" w:rsidRDefault="00F5049F" w:rsidP="00F5049F">
      <w:pPr>
        <w:pStyle w:val="ListParagraph"/>
        <w:numPr>
          <w:ilvl w:val="1"/>
          <w:numId w:val="4"/>
        </w:numPr>
        <w:spacing w:after="120"/>
        <w:contextualSpacing w:val="0"/>
        <w:jc w:val="both"/>
        <w:rPr>
          <w:rFonts w:ascii="Times New Roman" w:hAnsi="Times New Roman"/>
          <w:sz w:val="24"/>
          <w:szCs w:val="24"/>
        </w:rPr>
      </w:pPr>
      <w:r w:rsidRPr="00F77FFD">
        <w:rPr>
          <w:rFonts w:ascii="Times New Roman" w:hAnsi="Times New Roman"/>
          <w:sz w:val="24"/>
          <w:szCs w:val="24"/>
        </w:rPr>
        <w:t xml:space="preserve">the </w:t>
      </w:r>
      <w:r>
        <w:rPr>
          <w:rFonts w:ascii="Times New Roman" w:hAnsi="Times New Roman"/>
          <w:sz w:val="24"/>
          <w:szCs w:val="24"/>
        </w:rPr>
        <w:t>maximum allowed lead</w:t>
      </w:r>
      <w:r w:rsidRPr="00F77FFD">
        <w:rPr>
          <w:rFonts w:ascii="Times New Roman" w:hAnsi="Times New Roman"/>
          <w:sz w:val="24"/>
          <w:szCs w:val="24"/>
        </w:rPr>
        <w:t xml:space="preserve"> concentration is decreased from 2% to 1.5% of the weight of the PVC material; </w:t>
      </w:r>
    </w:p>
    <w:p w:rsidR="00F5049F" w:rsidRPr="00F77FFD" w:rsidRDefault="00F5049F" w:rsidP="00F5049F">
      <w:pPr>
        <w:pStyle w:val="ListParagraph"/>
        <w:numPr>
          <w:ilvl w:val="1"/>
          <w:numId w:val="4"/>
        </w:numPr>
        <w:spacing w:after="120"/>
        <w:contextualSpacing w:val="0"/>
        <w:jc w:val="both"/>
        <w:rPr>
          <w:rFonts w:ascii="Times New Roman" w:hAnsi="Times New Roman"/>
          <w:sz w:val="24"/>
          <w:szCs w:val="24"/>
        </w:rPr>
      </w:pPr>
      <w:r>
        <w:rPr>
          <w:rFonts w:ascii="Times New Roman" w:hAnsi="Times New Roman"/>
          <w:sz w:val="24"/>
          <w:szCs w:val="24"/>
        </w:rPr>
        <w:t>the duration of the derogation i</w:t>
      </w:r>
      <w:r w:rsidRPr="00F77FFD">
        <w:rPr>
          <w:rFonts w:ascii="Times New Roman" w:hAnsi="Times New Roman"/>
          <w:sz w:val="24"/>
          <w:szCs w:val="24"/>
        </w:rPr>
        <w:t xml:space="preserve">s reduced from 15 to 10 years; </w:t>
      </w:r>
    </w:p>
    <w:p w:rsidR="00F5049F" w:rsidRPr="00F77FFD" w:rsidRDefault="00F5049F" w:rsidP="00F5049F">
      <w:pPr>
        <w:pStyle w:val="ListParagraph"/>
        <w:numPr>
          <w:ilvl w:val="1"/>
          <w:numId w:val="4"/>
        </w:numPr>
        <w:spacing w:after="120"/>
        <w:contextualSpacing w:val="0"/>
        <w:jc w:val="both"/>
        <w:rPr>
          <w:rFonts w:ascii="Times New Roman" w:hAnsi="Times New Roman"/>
          <w:sz w:val="24"/>
          <w:szCs w:val="24"/>
        </w:rPr>
      </w:pPr>
      <w:proofErr w:type="gramStart"/>
      <w:r>
        <w:rPr>
          <w:rFonts w:ascii="Times New Roman" w:hAnsi="Times New Roman"/>
          <w:sz w:val="24"/>
          <w:szCs w:val="24"/>
        </w:rPr>
        <w:t>a</w:t>
      </w:r>
      <w:proofErr w:type="gramEnd"/>
      <w:r w:rsidRPr="00F77FFD">
        <w:rPr>
          <w:rFonts w:ascii="Times New Roman" w:hAnsi="Times New Roman"/>
          <w:sz w:val="24"/>
          <w:szCs w:val="24"/>
        </w:rPr>
        <w:t xml:space="preserve"> review</w:t>
      </w:r>
      <w:r>
        <w:rPr>
          <w:rFonts w:ascii="Times New Roman" w:hAnsi="Times New Roman"/>
          <w:sz w:val="24"/>
          <w:szCs w:val="24"/>
        </w:rPr>
        <w:t xml:space="preserve"> of the derogation</w:t>
      </w:r>
      <w:r w:rsidRPr="00F77FFD">
        <w:rPr>
          <w:rFonts w:ascii="Times New Roman" w:hAnsi="Times New Roman"/>
          <w:sz w:val="24"/>
          <w:szCs w:val="24"/>
        </w:rPr>
        <w:t xml:space="preserve"> </w:t>
      </w:r>
      <w:r>
        <w:rPr>
          <w:rFonts w:ascii="Times New Roman" w:hAnsi="Times New Roman"/>
          <w:sz w:val="24"/>
          <w:szCs w:val="24"/>
        </w:rPr>
        <w:t>is to</w:t>
      </w:r>
      <w:r w:rsidRPr="00F77FFD">
        <w:rPr>
          <w:rFonts w:ascii="Times New Roman" w:hAnsi="Times New Roman"/>
          <w:sz w:val="24"/>
          <w:szCs w:val="24"/>
        </w:rPr>
        <w:t xml:space="preserve"> be carried out after 5 years at the latest; </w:t>
      </w:r>
      <w:r>
        <w:rPr>
          <w:rFonts w:ascii="Times New Roman" w:hAnsi="Times New Roman"/>
          <w:sz w:val="24"/>
          <w:szCs w:val="24"/>
        </w:rPr>
        <w:t>t</w:t>
      </w:r>
      <w:r w:rsidRPr="00F77FFD">
        <w:rPr>
          <w:rFonts w:ascii="Times New Roman" w:hAnsi="Times New Roman"/>
          <w:sz w:val="24"/>
          <w:szCs w:val="24"/>
        </w:rPr>
        <w:t>he review should verify the trends regarding the lead concentration in the recyclate, the availability of adequate decontamination techniques and the socio-economic impact of removing the derogation.</w:t>
      </w:r>
    </w:p>
    <w:p w:rsidR="00F5049F" w:rsidRPr="00F77FFD" w:rsidRDefault="00F5049F" w:rsidP="00F5049F">
      <w:pPr>
        <w:pStyle w:val="ListParagraph"/>
        <w:numPr>
          <w:ilvl w:val="0"/>
          <w:numId w:val="4"/>
        </w:numPr>
        <w:spacing w:after="120"/>
        <w:contextualSpacing w:val="0"/>
        <w:jc w:val="both"/>
        <w:rPr>
          <w:rFonts w:ascii="Times New Roman" w:hAnsi="Times New Roman"/>
          <w:sz w:val="24"/>
          <w:szCs w:val="24"/>
        </w:rPr>
      </w:pPr>
      <w:r w:rsidRPr="00F77FFD">
        <w:rPr>
          <w:rFonts w:ascii="Times New Roman" w:hAnsi="Times New Roman"/>
          <w:sz w:val="24"/>
          <w:szCs w:val="24"/>
        </w:rPr>
        <w:t>On the basis of comments received from industry during the public consultation done by the Agency, and of further information submitted by industry to the Commission, the wording regarding the coating material to be used to encapsulate the derogated recovered rigid PVC is modified to allow the use of any material containing less than 0.1% lead that would equally limit lead migration and dust release from the recovered PVC</w:t>
      </w:r>
      <w:r>
        <w:rPr>
          <w:rFonts w:ascii="Times New Roman" w:hAnsi="Times New Roman"/>
          <w:sz w:val="24"/>
          <w:szCs w:val="24"/>
        </w:rPr>
        <w:t>; t</w:t>
      </w:r>
      <w:r w:rsidRPr="00F77FFD">
        <w:rPr>
          <w:rFonts w:ascii="Times New Roman" w:hAnsi="Times New Roman"/>
          <w:sz w:val="24"/>
          <w:szCs w:val="24"/>
        </w:rPr>
        <w:t xml:space="preserve">his is done not </w:t>
      </w:r>
      <w:r>
        <w:rPr>
          <w:rFonts w:ascii="Times New Roman" w:hAnsi="Times New Roman"/>
          <w:sz w:val="24"/>
          <w:szCs w:val="24"/>
        </w:rPr>
        <w:t xml:space="preserve">to </w:t>
      </w:r>
      <w:r w:rsidRPr="00F77FFD">
        <w:rPr>
          <w:rFonts w:ascii="Times New Roman" w:hAnsi="Times New Roman"/>
          <w:sz w:val="24"/>
          <w:szCs w:val="24"/>
        </w:rPr>
        <w:t xml:space="preserve">limit, without due justification, </w:t>
      </w:r>
      <w:r>
        <w:rPr>
          <w:rFonts w:ascii="Times New Roman" w:hAnsi="Times New Roman"/>
          <w:sz w:val="24"/>
          <w:szCs w:val="24"/>
        </w:rPr>
        <w:t>the possibility</w:t>
      </w:r>
      <w:r w:rsidRPr="00F77FFD">
        <w:rPr>
          <w:rFonts w:ascii="Times New Roman" w:hAnsi="Times New Roman"/>
          <w:sz w:val="24"/>
          <w:szCs w:val="24"/>
        </w:rPr>
        <w:t xml:space="preserve"> of the convertors to encapsulate the recovered PVC with other appropriate materials; </w:t>
      </w:r>
    </w:p>
    <w:p w:rsidR="00F5049F" w:rsidRPr="00F77FFD" w:rsidRDefault="00F5049F" w:rsidP="00F5049F">
      <w:pPr>
        <w:pStyle w:val="ListParagraph"/>
        <w:numPr>
          <w:ilvl w:val="0"/>
          <w:numId w:val="4"/>
        </w:numPr>
        <w:spacing w:after="120"/>
        <w:contextualSpacing w:val="0"/>
        <w:jc w:val="both"/>
        <w:rPr>
          <w:rFonts w:ascii="Times New Roman" w:hAnsi="Times New Roman"/>
          <w:sz w:val="24"/>
          <w:szCs w:val="24"/>
        </w:rPr>
      </w:pPr>
      <w:r w:rsidRPr="00F77FFD">
        <w:rPr>
          <w:rFonts w:ascii="Times New Roman" w:hAnsi="Times New Roman"/>
          <w:sz w:val="24"/>
          <w:szCs w:val="24"/>
        </w:rPr>
        <w:t xml:space="preserve">In the context of the proposed derogation for recovered rigid PVC, a provision is </w:t>
      </w:r>
      <w:r>
        <w:rPr>
          <w:rFonts w:ascii="Times New Roman" w:hAnsi="Times New Roman"/>
          <w:sz w:val="24"/>
          <w:szCs w:val="24"/>
        </w:rPr>
        <w:t>laid down</w:t>
      </w:r>
      <w:r w:rsidRPr="00F77FFD">
        <w:rPr>
          <w:rFonts w:ascii="Times New Roman" w:hAnsi="Times New Roman"/>
          <w:sz w:val="24"/>
          <w:szCs w:val="24"/>
        </w:rPr>
        <w:t xml:space="preserve"> requiring that rigid PVC recovered from profiles and sheets in buildings and civil engineering works (e.g. windows, doors, shutters, etc.) and containing more than 0,1 % of lead only be used to produce new PVC profiles and sheets for the same applications</w:t>
      </w:r>
      <w:r>
        <w:rPr>
          <w:rFonts w:ascii="Times New Roman" w:hAnsi="Times New Roman"/>
          <w:sz w:val="24"/>
          <w:szCs w:val="24"/>
        </w:rPr>
        <w:t>; t</w:t>
      </w:r>
      <w:r w:rsidRPr="00F77FFD">
        <w:rPr>
          <w:rFonts w:ascii="Times New Roman" w:hAnsi="Times New Roman"/>
          <w:sz w:val="24"/>
          <w:szCs w:val="24"/>
        </w:rPr>
        <w:t xml:space="preserve">he rationale is to limit the presence of </w:t>
      </w:r>
      <w:r w:rsidR="004E4D2A">
        <w:rPr>
          <w:rFonts w:ascii="Times New Roman" w:hAnsi="Times New Roman"/>
          <w:sz w:val="24"/>
          <w:szCs w:val="24"/>
        </w:rPr>
        <w:t xml:space="preserve">higher lead concentrations to certain </w:t>
      </w:r>
      <w:bookmarkStart w:id="0" w:name="_GoBack"/>
      <w:bookmarkEnd w:id="0"/>
      <w:r w:rsidRPr="00F77FFD">
        <w:rPr>
          <w:rFonts w:ascii="Times New Roman" w:hAnsi="Times New Roman"/>
          <w:sz w:val="24"/>
          <w:szCs w:val="24"/>
        </w:rPr>
        <w:t>known articles, thereby facilitating their traceability and future decontamination</w:t>
      </w:r>
      <w:r>
        <w:rPr>
          <w:rFonts w:ascii="Times New Roman" w:hAnsi="Times New Roman"/>
          <w:sz w:val="24"/>
          <w:szCs w:val="24"/>
        </w:rPr>
        <w:t>; a</w:t>
      </w:r>
      <w:r w:rsidRPr="00F77FFD">
        <w:rPr>
          <w:rFonts w:ascii="Times New Roman" w:hAnsi="Times New Roman"/>
          <w:sz w:val="24"/>
          <w:szCs w:val="24"/>
        </w:rPr>
        <w:t xml:space="preserve">ccording to information </w:t>
      </w:r>
      <w:r>
        <w:rPr>
          <w:rFonts w:ascii="Times New Roman" w:hAnsi="Times New Roman"/>
          <w:sz w:val="24"/>
          <w:szCs w:val="24"/>
        </w:rPr>
        <w:t>from</w:t>
      </w:r>
      <w:r w:rsidRPr="00F77FFD">
        <w:rPr>
          <w:rFonts w:ascii="Times New Roman" w:hAnsi="Times New Roman"/>
          <w:sz w:val="24"/>
          <w:szCs w:val="24"/>
        </w:rPr>
        <w:t xml:space="preserve"> industry, the EU PVC profile industry has already in place the necessary infrastructure to implement </w:t>
      </w:r>
      <w:r>
        <w:rPr>
          <w:rFonts w:ascii="Times New Roman" w:hAnsi="Times New Roman"/>
          <w:sz w:val="24"/>
          <w:szCs w:val="24"/>
        </w:rPr>
        <w:t>this requirement</w:t>
      </w:r>
      <w:r w:rsidRPr="00F77FFD">
        <w:rPr>
          <w:rFonts w:ascii="Times New Roman" w:hAnsi="Times New Roman"/>
          <w:sz w:val="24"/>
          <w:szCs w:val="24"/>
        </w:rPr>
        <w:t>;</w:t>
      </w:r>
    </w:p>
    <w:p w:rsidR="00F5049F" w:rsidRPr="00F77FFD" w:rsidRDefault="00F5049F" w:rsidP="00F5049F">
      <w:pPr>
        <w:pStyle w:val="ListParagraph"/>
        <w:numPr>
          <w:ilvl w:val="0"/>
          <w:numId w:val="4"/>
        </w:numPr>
        <w:spacing w:after="120"/>
        <w:contextualSpacing w:val="0"/>
        <w:jc w:val="both"/>
        <w:rPr>
          <w:rFonts w:ascii="Times New Roman" w:hAnsi="Times New Roman"/>
          <w:sz w:val="24"/>
          <w:szCs w:val="24"/>
        </w:rPr>
      </w:pPr>
      <w:r w:rsidRPr="00F77FFD">
        <w:rPr>
          <w:rFonts w:ascii="Times New Roman" w:hAnsi="Times New Roman"/>
          <w:sz w:val="24"/>
          <w:szCs w:val="24"/>
        </w:rPr>
        <w:t xml:space="preserve">A provision is introduced requiring PVC articles containing recovered rigid PVC to </w:t>
      </w:r>
      <w:r>
        <w:rPr>
          <w:rFonts w:ascii="Times New Roman" w:hAnsi="Times New Roman"/>
          <w:sz w:val="24"/>
          <w:szCs w:val="24"/>
        </w:rPr>
        <w:t>indicate</w:t>
      </w:r>
      <w:r w:rsidRPr="00F77FFD">
        <w:rPr>
          <w:rFonts w:ascii="Times New Roman" w:hAnsi="Times New Roman"/>
          <w:sz w:val="24"/>
          <w:szCs w:val="24"/>
        </w:rPr>
        <w:t xml:space="preserve"> if they contain lead in a concentration above 0,1 % by weight of the PVC, in order to ensure that professionals and consumers are adequately informed of possible risks and facilitate enforcement, in particular in relation to imports</w:t>
      </w:r>
      <w:r>
        <w:rPr>
          <w:rFonts w:ascii="Times New Roman" w:hAnsi="Times New Roman"/>
          <w:sz w:val="24"/>
          <w:szCs w:val="24"/>
        </w:rPr>
        <w:t>; t</w:t>
      </w:r>
      <w:r w:rsidRPr="00F77FFD">
        <w:rPr>
          <w:rFonts w:ascii="Times New Roman" w:hAnsi="Times New Roman"/>
          <w:sz w:val="24"/>
          <w:szCs w:val="24"/>
        </w:rPr>
        <w:t>his provision should also facilitate the separate coll</w:t>
      </w:r>
      <w:r>
        <w:rPr>
          <w:rFonts w:ascii="Times New Roman" w:hAnsi="Times New Roman"/>
          <w:sz w:val="24"/>
          <w:szCs w:val="24"/>
        </w:rPr>
        <w:t>ection of lead-containing waste;</w:t>
      </w:r>
    </w:p>
    <w:p w:rsidR="00F5049F" w:rsidRPr="00F77FFD" w:rsidRDefault="00F5049F" w:rsidP="00F5049F">
      <w:pPr>
        <w:pStyle w:val="ListParagraph"/>
        <w:numPr>
          <w:ilvl w:val="0"/>
          <w:numId w:val="4"/>
        </w:numPr>
        <w:spacing w:after="120"/>
        <w:contextualSpacing w:val="0"/>
        <w:jc w:val="both"/>
        <w:rPr>
          <w:rFonts w:ascii="Times New Roman" w:hAnsi="Times New Roman"/>
          <w:sz w:val="24"/>
          <w:szCs w:val="24"/>
        </w:rPr>
      </w:pPr>
      <w:r w:rsidRPr="00F77FFD">
        <w:rPr>
          <w:rFonts w:ascii="Times New Roman" w:hAnsi="Times New Roman"/>
          <w:sz w:val="24"/>
          <w:szCs w:val="24"/>
        </w:rPr>
        <w:t>Considering the difficulties for enforcement authorities to determine if PVC in articles, especially imported articles, is of recovered origin, a provision is laid down requiring suppliers of PVC articles benefitting from the derogation for recovered rigid PVC to prove the recovered origin of the material by presenting documentary evidence</w:t>
      </w:r>
      <w:r>
        <w:rPr>
          <w:rFonts w:ascii="Times New Roman" w:hAnsi="Times New Roman"/>
          <w:sz w:val="24"/>
          <w:szCs w:val="24"/>
        </w:rPr>
        <w:t xml:space="preserve">; </w:t>
      </w:r>
      <w:r w:rsidRPr="00126C05">
        <w:rPr>
          <w:rFonts w:ascii="Times New Roman" w:hAnsi="Times New Roman"/>
          <w:sz w:val="24"/>
          <w:szCs w:val="24"/>
        </w:rPr>
        <w:t>for PVC articles produced in the Union</w:t>
      </w:r>
      <w:r w:rsidRPr="00F77FFD">
        <w:rPr>
          <w:rFonts w:ascii="Times New Roman" w:hAnsi="Times New Roman"/>
          <w:sz w:val="24"/>
          <w:szCs w:val="24"/>
        </w:rPr>
        <w:t xml:space="preserve">, </w:t>
      </w:r>
      <w:r>
        <w:rPr>
          <w:rFonts w:ascii="Times New Roman" w:hAnsi="Times New Roman"/>
          <w:sz w:val="24"/>
          <w:szCs w:val="24"/>
        </w:rPr>
        <w:t>existing schemes providing</w:t>
      </w:r>
      <w:r w:rsidRPr="00126C05">
        <w:rPr>
          <w:rFonts w:ascii="Times New Roman" w:hAnsi="Times New Roman"/>
          <w:sz w:val="24"/>
          <w:szCs w:val="24"/>
        </w:rPr>
        <w:t xml:space="preserve"> proof of traceability and recycled content may be used to </w:t>
      </w:r>
      <w:r w:rsidRPr="00F77FFD">
        <w:rPr>
          <w:rFonts w:ascii="Times New Roman" w:hAnsi="Times New Roman"/>
          <w:sz w:val="24"/>
          <w:szCs w:val="24"/>
        </w:rPr>
        <w:t>prove the recovered origin of the material</w:t>
      </w:r>
      <w:r>
        <w:rPr>
          <w:rFonts w:ascii="Times New Roman" w:hAnsi="Times New Roman"/>
          <w:sz w:val="24"/>
          <w:szCs w:val="24"/>
        </w:rPr>
        <w:t>; f</w:t>
      </w:r>
      <w:r w:rsidRPr="00F77FFD">
        <w:rPr>
          <w:rFonts w:ascii="Times New Roman" w:hAnsi="Times New Roman"/>
          <w:sz w:val="24"/>
          <w:szCs w:val="24"/>
        </w:rPr>
        <w:t>or imported articles, claims on the recovered origin of the material are to be substantiated via independent third party certification</w:t>
      </w:r>
      <w:r>
        <w:rPr>
          <w:rFonts w:ascii="Times New Roman" w:hAnsi="Times New Roman"/>
          <w:sz w:val="24"/>
          <w:szCs w:val="24"/>
        </w:rPr>
        <w:t>;</w:t>
      </w:r>
    </w:p>
    <w:p w:rsidR="00F5049F" w:rsidRPr="00F77FFD" w:rsidRDefault="00F5049F" w:rsidP="00F5049F">
      <w:pPr>
        <w:pStyle w:val="Considrant"/>
        <w:numPr>
          <w:ilvl w:val="0"/>
          <w:numId w:val="4"/>
        </w:numPr>
      </w:pPr>
      <w:proofErr w:type="gramStart"/>
      <w:r w:rsidRPr="00F77FFD">
        <w:t xml:space="preserve">The derogation proposed for the use and placing on the market of the lead pigments "lead </w:t>
      </w:r>
      <w:proofErr w:type="spellStart"/>
      <w:r w:rsidRPr="00F77FFD">
        <w:t>sulfochromate</w:t>
      </w:r>
      <w:proofErr w:type="spellEnd"/>
      <w:r w:rsidRPr="00F77FFD">
        <w:t xml:space="preserve"> yellow" and "lead chromate </w:t>
      </w:r>
      <w:proofErr w:type="spellStart"/>
      <w:r w:rsidRPr="00F77FFD">
        <w:t>molybdate</w:t>
      </w:r>
      <w:proofErr w:type="spellEnd"/>
      <w:r w:rsidRPr="00F77FFD">
        <w:t xml:space="preserve"> </w:t>
      </w:r>
      <w:proofErr w:type="spellStart"/>
      <w:r w:rsidRPr="00F77FFD">
        <w:t>sulfate</w:t>
      </w:r>
      <w:proofErr w:type="spellEnd"/>
      <w:r w:rsidRPr="00F77FFD">
        <w:t xml:space="preserve"> red" is not included, in view of recent case law</w:t>
      </w:r>
      <w:r w:rsidRPr="00F77FFD">
        <w:rPr>
          <w:rStyle w:val="FootnoteReference"/>
        </w:rPr>
        <w:footnoteReference w:id="1"/>
      </w:r>
      <w:r w:rsidRPr="00F77FFD">
        <w:t xml:space="preserve"> and the Agency’s intention to submit a new restriction dossier pursuant to Article 69(2) of Regulation (EC) No 1907/2006 related to the risks stemming from the use of those pigments in articles.</w:t>
      </w:r>
      <w:proofErr w:type="gramEnd"/>
    </w:p>
    <w:p w:rsidR="001F6400" w:rsidRDefault="001F6400"/>
    <w:sectPr w:rsidR="001F6400" w:rsidSect="008854B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49F" w:rsidRDefault="00F5049F" w:rsidP="00F5049F">
      <w:pPr>
        <w:spacing w:after="0" w:line="240" w:lineRule="auto"/>
      </w:pPr>
      <w:r>
        <w:separator/>
      </w:r>
    </w:p>
  </w:endnote>
  <w:endnote w:type="continuationSeparator" w:id="0">
    <w:p w:rsidR="00F5049F" w:rsidRDefault="00F5049F" w:rsidP="00F50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A7A" w:rsidRDefault="004E4D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A7A" w:rsidRDefault="004E4D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A7A" w:rsidRDefault="004E4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49F" w:rsidRDefault="00F5049F" w:rsidP="00F5049F">
      <w:pPr>
        <w:spacing w:after="0" w:line="240" w:lineRule="auto"/>
      </w:pPr>
      <w:r>
        <w:separator/>
      </w:r>
    </w:p>
  </w:footnote>
  <w:footnote w:type="continuationSeparator" w:id="0">
    <w:p w:rsidR="00F5049F" w:rsidRDefault="00F5049F" w:rsidP="00F5049F">
      <w:pPr>
        <w:spacing w:after="0" w:line="240" w:lineRule="auto"/>
      </w:pPr>
      <w:r>
        <w:continuationSeparator/>
      </w:r>
    </w:p>
  </w:footnote>
  <w:footnote w:id="1">
    <w:p w:rsidR="00F5049F" w:rsidRPr="00D259CF" w:rsidRDefault="00F5049F" w:rsidP="00F5049F">
      <w:pPr>
        <w:pStyle w:val="FootnoteText"/>
      </w:pPr>
      <w:r w:rsidRPr="00762C20">
        <w:rPr>
          <w:vertAlign w:val="superscript"/>
        </w:rPr>
        <w:footnoteRef/>
      </w:r>
      <w:r>
        <w:t xml:space="preserve"> </w:t>
      </w:r>
      <w:r>
        <w:tab/>
      </w:r>
      <w:hyperlink r:id="rId1" w:history="1">
        <w:r w:rsidRPr="00421D56">
          <w:rPr>
            <w:rStyle w:val="Hyperlink"/>
          </w:rPr>
          <w:t>https://curia.europa.eu/juris/liste.jsf?language=en&amp;num=C-389/19</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A7A" w:rsidRDefault="004E4D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A7A" w:rsidRDefault="004E4D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A7A" w:rsidRDefault="004E4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06A74"/>
    <w:multiLevelType w:val="hybridMultilevel"/>
    <w:tmpl w:val="8048E0EA"/>
    <w:lvl w:ilvl="0" w:tplc="080C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1B51B45"/>
    <w:multiLevelType w:val="hybridMultilevel"/>
    <w:tmpl w:val="BF9433E8"/>
    <w:lvl w:ilvl="0" w:tplc="080C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79A320E"/>
    <w:multiLevelType w:val="hybridMultilevel"/>
    <w:tmpl w:val="C956738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7CBE4812"/>
    <w:multiLevelType w:val="singleLevel"/>
    <w:tmpl w:val="40CE8C6C"/>
    <w:lvl w:ilvl="0">
      <w:start w:val="1"/>
      <w:numFmt w:val="decimal"/>
      <w:lvlRestart w:val="0"/>
      <w:pStyle w:val="Considrant"/>
      <w:lvlText w:val="(%1)"/>
      <w:lvlJc w:val="left"/>
      <w:pPr>
        <w:tabs>
          <w:tab w:val="num" w:pos="709"/>
        </w:tabs>
        <w:ind w:left="709" w:hanging="709"/>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5049F"/>
    <w:rsid w:val="001F6400"/>
    <w:rsid w:val="004E4D2A"/>
    <w:rsid w:val="005D3AD1"/>
    <w:rsid w:val="00BF35F2"/>
    <w:rsid w:val="00D673E2"/>
    <w:rsid w:val="00F50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0994B"/>
  <w15:chartTrackingRefBased/>
  <w15:docId w15:val="{0B24A237-D148-4299-A6F4-9A91CFC0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49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idrant">
    <w:name w:val="Considérant"/>
    <w:basedOn w:val="Normal"/>
    <w:autoRedefine/>
    <w:rsid w:val="00F5049F"/>
    <w:pPr>
      <w:numPr>
        <w:numId w:val="1"/>
      </w:numPr>
      <w:spacing w:before="120" w:after="120" w:line="240" w:lineRule="auto"/>
      <w:jc w:val="both"/>
    </w:pPr>
    <w:rPr>
      <w:rFonts w:ascii="Times New Roman" w:eastAsia="Times New Roman" w:hAnsi="Times New Roman"/>
      <w:sz w:val="24"/>
      <w:szCs w:val="24"/>
    </w:rPr>
  </w:style>
  <w:style w:type="paragraph" w:styleId="Header">
    <w:name w:val="header"/>
    <w:basedOn w:val="Normal"/>
    <w:link w:val="HeaderChar"/>
    <w:uiPriority w:val="99"/>
    <w:unhideWhenUsed/>
    <w:rsid w:val="00F5049F"/>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rsid w:val="00F5049F"/>
    <w:rPr>
      <w:rFonts w:ascii="Times New Roman" w:hAnsi="Times New Roman" w:cs="Times New Roman"/>
      <w:sz w:val="24"/>
    </w:rPr>
  </w:style>
  <w:style w:type="paragraph" w:styleId="Footer">
    <w:name w:val="footer"/>
    <w:basedOn w:val="Normal"/>
    <w:link w:val="FooterChar"/>
    <w:uiPriority w:val="99"/>
    <w:unhideWhenUsed/>
    <w:rsid w:val="00F5049F"/>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rsid w:val="00F5049F"/>
    <w:rPr>
      <w:rFonts w:ascii="Times New Roman" w:hAnsi="Times New Roman" w:cs="Times New Roman"/>
      <w:sz w:val="24"/>
    </w:rPr>
  </w:style>
  <w:style w:type="paragraph" w:styleId="ListParagraph">
    <w:name w:val="List Paragraph"/>
    <w:basedOn w:val="Normal"/>
    <w:uiPriority w:val="34"/>
    <w:qFormat/>
    <w:rsid w:val="00F5049F"/>
    <w:pPr>
      <w:ind w:left="720"/>
      <w:contextualSpacing/>
    </w:pPr>
  </w:style>
  <w:style w:type="character" w:styleId="Hyperlink">
    <w:name w:val="Hyperlink"/>
    <w:uiPriority w:val="99"/>
    <w:rsid w:val="00F5049F"/>
    <w:rPr>
      <w:color w:val="0000FF"/>
      <w:u w:val="single"/>
    </w:rPr>
  </w:style>
  <w:style w:type="paragraph" w:styleId="FootnoteText">
    <w:name w:val="footnote text"/>
    <w:basedOn w:val="Normal"/>
    <w:link w:val="FootnoteTextChar"/>
    <w:uiPriority w:val="99"/>
    <w:semiHidden/>
    <w:unhideWhenUsed/>
    <w:rsid w:val="00F5049F"/>
    <w:pPr>
      <w:spacing w:after="0" w:line="240" w:lineRule="auto"/>
      <w:ind w:left="720" w:hanging="720"/>
      <w:jc w:val="both"/>
    </w:pPr>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F5049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5049F"/>
    <w:rPr>
      <w:shd w:val="clear" w:color="auto" w:fil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uria.europa.eu/juris/liste.jsf?language=en&amp;num=C-38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1114</Words>
  <Characters>6064</Characters>
  <Application>Microsoft Office Word</Application>
  <DocSecurity>0</DocSecurity>
  <Lines>96</Lines>
  <Paragraphs>31</Paragraphs>
  <ScaleCrop>false</ScaleCrop>
  <Company>European Commission</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TOSETTI Patrizia (GROW)</dc:creator>
  <cp:keywords/>
  <dc:description/>
  <cp:lastModifiedBy>TOSETTI Patrizia (GROW)</cp:lastModifiedBy>
  <cp:revision>2</cp:revision>
  <dcterms:created xsi:type="dcterms:W3CDTF">2022-02-17T11:41:00Z</dcterms:created>
  <dcterms:modified xsi:type="dcterms:W3CDTF">2022-02-17T11:48:00Z</dcterms:modified>
</cp:coreProperties>
</file>