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6E0BC" w14:textId="65937A20" w:rsidR="00C36E0D" w:rsidRDefault="006021FC" w:rsidP="00600038">
      <w:pPr>
        <w:pStyle w:val="Pagedecouverture"/>
      </w:pPr>
      <w:bookmarkStart w:id="0" w:name="_GoBack"/>
      <w:bookmarkEnd w:id="0"/>
      <w:r>
        <w:pict w14:anchorId="7D9E7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57825B9-9048-413C-8D7D-4E5A98C70A93" style="width:454.9pt;height:386.2pt">
            <v:imagedata r:id="rId13" o:title=""/>
          </v:shape>
        </w:pict>
      </w:r>
    </w:p>
    <w:p w14:paraId="1E684B77" w14:textId="77777777" w:rsidR="00327183" w:rsidRPr="00A01AA1" w:rsidRDefault="00327183" w:rsidP="0025283E">
      <w:pPr>
        <w:sectPr w:rsidR="00327183" w:rsidRPr="00A01AA1" w:rsidSect="009C6E29">
          <w:headerReference w:type="even" r:id="rId14"/>
          <w:headerReference w:type="default" r:id="rId15"/>
          <w:footerReference w:type="even" r:id="rId16"/>
          <w:footerReference w:type="default" r:id="rId17"/>
          <w:headerReference w:type="first" r:id="rId18"/>
          <w:footerReference w:type="first" r:id="rId19"/>
          <w:pgSz w:w="11907" w:h="16839"/>
          <w:pgMar w:top="1134" w:right="1417" w:bottom="1134" w:left="1417" w:header="709" w:footer="709" w:gutter="0"/>
          <w:pgNumType w:start="0"/>
          <w:cols w:space="720"/>
          <w:docGrid w:linePitch="360"/>
        </w:sectPr>
      </w:pPr>
    </w:p>
    <w:p w14:paraId="2223CC6E" w14:textId="26B6F7E8" w:rsidR="00327183" w:rsidRPr="00A01AA1" w:rsidRDefault="00600038" w:rsidP="00600038">
      <w:pPr>
        <w:pStyle w:val="Typedudocument"/>
      </w:pPr>
      <w:r w:rsidRPr="00600038">
        <w:lastRenderedPageBreak/>
        <w:t>COMMISSION REGULATION (EU) …/…</w:t>
      </w:r>
    </w:p>
    <w:p w14:paraId="52665447" w14:textId="3B8034DB" w:rsidR="00327183" w:rsidRPr="00A01AA1" w:rsidRDefault="00600038" w:rsidP="00600038">
      <w:pPr>
        <w:pStyle w:val="Datedadoption"/>
      </w:pPr>
      <w:r w:rsidRPr="00600038">
        <w:t xml:space="preserve">of </w:t>
      </w:r>
      <w:r w:rsidRPr="00600038">
        <w:rPr>
          <w:rStyle w:val="Marker2"/>
        </w:rPr>
        <w:t>XXX</w:t>
      </w:r>
    </w:p>
    <w:p w14:paraId="3ABC0A19" w14:textId="698CEB78" w:rsidR="00327183" w:rsidRPr="00A01AA1" w:rsidRDefault="00600038" w:rsidP="00600038">
      <w:pPr>
        <w:pStyle w:val="Titreobjet"/>
      </w:pPr>
      <w:r w:rsidRPr="00600038">
        <w:t>amending Annex XVII to Regulation (EC) No 1907/2006 of the European Parliament and of the Council as regards formaldehyde and formaldehyde releasers</w:t>
      </w:r>
    </w:p>
    <w:p w14:paraId="5ADC46E9" w14:textId="4B11A9F5" w:rsidR="00327183" w:rsidRPr="00327183" w:rsidRDefault="00600038" w:rsidP="00600038">
      <w:pPr>
        <w:pStyle w:val="IntrtEEE"/>
      </w:pPr>
      <w:r w:rsidRPr="00600038">
        <w:t>(Text with EEA relevance)</w:t>
      </w:r>
    </w:p>
    <w:p w14:paraId="4F992CB7" w14:textId="77777777" w:rsidR="00327183" w:rsidRPr="00A01AA1" w:rsidRDefault="00327183" w:rsidP="0025283E">
      <w:pPr>
        <w:pStyle w:val="Institutionquiagit"/>
      </w:pPr>
      <w:r w:rsidRPr="00A01AA1">
        <w:t>THE EUROPEAN COMMISSION,</w:t>
      </w:r>
    </w:p>
    <w:p w14:paraId="42553AAD" w14:textId="77777777" w:rsidR="00327183" w:rsidRPr="00A01AA1" w:rsidRDefault="00327183" w:rsidP="0025283E">
      <w:r w:rsidRPr="00A01AA1">
        <w:t>Having regard to the Treaty on the Functioning of the European Union,</w:t>
      </w:r>
    </w:p>
    <w:p w14:paraId="5AB8E2A7" w14:textId="77777777" w:rsidR="00327183" w:rsidRPr="00A01AA1" w:rsidRDefault="00327183" w:rsidP="0025283E">
      <w:r w:rsidRPr="00A01AA1">
        <w:t xml:space="preserve">Having regard to </w:t>
      </w:r>
      <w:r>
        <w:t>Regulation (EC) No 1907/2006 of the European Parliament and of the Council of 18 December 2006 concerning the Registration, Evaluation, Authorisation and Restriction of Chemicals (REACH), establishing a European Chemicals Agency, amending Directive 1999/45/EC and repealing Council Regulation (EEC) No 793/93 and Commission Regulation (EC) No 1488/94 as well as Council Directive 76/769/EEC and Commission Directives 91/155/EEC, 93/67/EEC, 93/105/EC and 2000/21/EC</w:t>
      </w:r>
      <w:r w:rsidRPr="00A01AA1">
        <w:rPr>
          <w:rStyle w:val="FootnoteReference"/>
        </w:rPr>
        <w:footnoteReference w:id="1"/>
      </w:r>
      <w:r w:rsidRPr="00A01AA1">
        <w:t xml:space="preserve">, and in particular Article </w:t>
      </w:r>
      <w:r>
        <w:t>68(1)</w:t>
      </w:r>
      <w:r w:rsidRPr="00A01AA1">
        <w:t xml:space="preserve"> thereof,</w:t>
      </w:r>
    </w:p>
    <w:p w14:paraId="01DBF86A" w14:textId="77777777" w:rsidR="00327183" w:rsidRPr="00A01AA1" w:rsidRDefault="00327183" w:rsidP="0025283E">
      <w:r w:rsidRPr="00A01AA1">
        <w:t>Whereas:</w:t>
      </w:r>
    </w:p>
    <w:p w14:paraId="6ED5A284" w14:textId="7542E25B" w:rsidR="0046782C" w:rsidRPr="00A77BAE" w:rsidRDefault="002C1D76" w:rsidP="00A80B6E">
      <w:pPr>
        <w:pStyle w:val="Considrant"/>
        <w:numPr>
          <w:ilvl w:val="0"/>
          <w:numId w:val="9"/>
        </w:numPr>
      </w:pPr>
      <w:r w:rsidRPr="00A77BAE">
        <w:t>Formaldehyde</w:t>
      </w:r>
      <w:r w:rsidR="007B2059" w:rsidRPr="00A77BAE">
        <w:t xml:space="preserve"> is a</w:t>
      </w:r>
      <w:r w:rsidRPr="00A77BAE">
        <w:t xml:space="preserve"> </w:t>
      </w:r>
      <w:r w:rsidR="00490137" w:rsidRPr="00A77BAE">
        <w:t xml:space="preserve">highly reactive </w:t>
      </w:r>
      <w:r w:rsidR="00446D7D" w:rsidRPr="00A77BAE">
        <w:t>gas at ambient temperature and atmospheric pressure</w:t>
      </w:r>
      <w:r w:rsidR="00B00344" w:rsidRPr="00A77BAE">
        <w:t xml:space="preserve"> conditions</w:t>
      </w:r>
      <w:r w:rsidR="006C5497" w:rsidRPr="00A77BAE">
        <w:t>.</w:t>
      </w:r>
      <w:r w:rsidR="00B23394" w:rsidRPr="00A77BAE">
        <w:t xml:space="preserve"> </w:t>
      </w:r>
      <w:r w:rsidR="006C5497" w:rsidRPr="00A77BAE">
        <w:t>I</w:t>
      </w:r>
      <w:r w:rsidR="00446D7D" w:rsidRPr="00A77BAE">
        <w:t xml:space="preserve">t is </w:t>
      </w:r>
      <w:r w:rsidR="00B23394" w:rsidRPr="00A77BAE">
        <w:t xml:space="preserve">classified </w:t>
      </w:r>
      <w:r w:rsidR="00A80B6E">
        <w:t>in Part 3 of Annex VI to Regulation (EC) No 1272/2008 of the European Parliament and of the Council</w:t>
      </w:r>
      <w:r w:rsidR="00A80B6E">
        <w:rPr>
          <w:rStyle w:val="FootnoteReference"/>
        </w:rPr>
        <w:footnoteReference w:id="2"/>
      </w:r>
      <w:r w:rsidR="00953F6E" w:rsidRPr="00A77BAE">
        <w:t xml:space="preserve"> </w:t>
      </w:r>
      <w:r w:rsidR="00B23394" w:rsidRPr="00A77BAE">
        <w:t xml:space="preserve">as </w:t>
      </w:r>
      <w:r w:rsidR="00446D7D" w:rsidRPr="00A77BAE">
        <w:t xml:space="preserve">carcinogen </w:t>
      </w:r>
      <w:r w:rsidR="00394C16">
        <w:t xml:space="preserve">category </w:t>
      </w:r>
      <w:r w:rsidR="00446D7D" w:rsidRPr="00A77BAE">
        <w:t xml:space="preserve">1B, mutagen </w:t>
      </w:r>
      <w:r w:rsidR="00394C16">
        <w:t xml:space="preserve">category </w:t>
      </w:r>
      <w:r w:rsidR="00446D7D" w:rsidRPr="00A77BAE">
        <w:t>2, acute toxicant</w:t>
      </w:r>
      <w:r w:rsidR="00394C16">
        <w:t xml:space="preserve"> category</w:t>
      </w:r>
      <w:r w:rsidR="00446D7D" w:rsidRPr="00A77BAE">
        <w:t xml:space="preserve"> 3, skin corrosive </w:t>
      </w:r>
      <w:r w:rsidR="00394C16">
        <w:t xml:space="preserve">category </w:t>
      </w:r>
      <w:r w:rsidR="00446D7D" w:rsidRPr="00A77BAE">
        <w:t xml:space="preserve">1B and skin sensitiser </w:t>
      </w:r>
      <w:r w:rsidR="00394C16">
        <w:t xml:space="preserve">category </w:t>
      </w:r>
      <w:r w:rsidR="00446D7D" w:rsidRPr="00A77BAE">
        <w:t xml:space="preserve">1. </w:t>
      </w:r>
    </w:p>
    <w:p w14:paraId="14C8A203" w14:textId="2B72ACAD" w:rsidR="00446D7D" w:rsidRPr="00A77BAE" w:rsidRDefault="00446D7D" w:rsidP="002707FD">
      <w:pPr>
        <w:pStyle w:val="Considrant"/>
        <w:numPr>
          <w:ilvl w:val="0"/>
          <w:numId w:val="9"/>
        </w:numPr>
      </w:pPr>
      <w:r w:rsidRPr="00A77BAE">
        <w:t>Formaldehyde is a high production volume chemical with a wide array of uses</w:t>
      </w:r>
      <w:r w:rsidR="00A833CD" w:rsidRPr="00A77BAE">
        <w:t>.</w:t>
      </w:r>
      <w:r w:rsidRPr="00A77BAE">
        <w:t xml:space="preserve"> </w:t>
      </w:r>
      <w:r w:rsidR="00A833CD" w:rsidRPr="00A77BAE">
        <w:t>I</w:t>
      </w:r>
      <w:r w:rsidRPr="00A77BAE">
        <w:t>t is also produced endogenously in humans and animals</w:t>
      </w:r>
      <w:r w:rsidR="00A833CD" w:rsidRPr="00A77BAE">
        <w:t>,</w:t>
      </w:r>
      <w:r w:rsidRPr="00A77BAE">
        <w:t xml:space="preserve"> and it is an essential metabolic intermediate in all cells. 9</w:t>
      </w:r>
      <w:r w:rsidR="00490137" w:rsidRPr="00A77BAE">
        <w:t xml:space="preserve">8 </w:t>
      </w:r>
      <w:r w:rsidRPr="00A77BAE">
        <w:t xml:space="preserve">% of the formaldehyde </w:t>
      </w:r>
      <w:r w:rsidR="00A833CD" w:rsidRPr="00A77BAE">
        <w:t xml:space="preserve">manufactured </w:t>
      </w:r>
      <w:r w:rsidRPr="00A77BAE">
        <w:t xml:space="preserve">or imported in the </w:t>
      </w:r>
      <w:r w:rsidR="006C5497" w:rsidRPr="00A77BAE">
        <w:t xml:space="preserve">Union </w:t>
      </w:r>
      <w:r w:rsidRPr="00A77BAE">
        <w:t>is used as a</w:t>
      </w:r>
      <w:r w:rsidR="00B23394" w:rsidRPr="00A77BAE">
        <w:t xml:space="preserve"> chemical intermediate in the production of formaldehyde-based resins</w:t>
      </w:r>
      <w:r w:rsidRPr="00A77BAE">
        <w:t xml:space="preserve">, thermoplastics and other </w:t>
      </w:r>
      <w:r w:rsidR="00B00344" w:rsidRPr="00A77BAE">
        <w:t xml:space="preserve">chemicals, which are </w:t>
      </w:r>
      <w:r w:rsidR="00FA3B7C" w:rsidRPr="00A77BAE">
        <w:t xml:space="preserve">further </w:t>
      </w:r>
      <w:r w:rsidR="00B00344" w:rsidRPr="00A77BAE">
        <w:t>used in a</w:t>
      </w:r>
      <w:r w:rsidR="00447F26" w:rsidRPr="00A77BAE">
        <w:t xml:space="preserve"> </w:t>
      </w:r>
      <w:r w:rsidR="00B00344" w:rsidRPr="00A77BAE">
        <w:t>broad range of applications.</w:t>
      </w:r>
      <w:r w:rsidR="00B23394" w:rsidRPr="00A77BAE">
        <w:t xml:space="preserve"> </w:t>
      </w:r>
      <w:r w:rsidR="00490137" w:rsidRPr="00A77BAE">
        <w:t xml:space="preserve">Formaldehyde-based </w:t>
      </w:r>
      <w:r w:rsidR="00490137" w:rsidRPr="009770C3">
        <w:t>resins are used in the production</w:t>
      </w:r>
      <w:r w:rsidR="0068172F" w:rsidRPr="009770C3">
        <w:t xml:space="preserve"> </w:t>
      </w:r>
      <w:r w:rsidR="00DF248C" w:rsidRPr="009770C3">
        <w:t xml:space="preserve">of </w:t>
      </w:r>
      <w:r w:rsidR="0068172F" w:rsidRPr="00600864">
        <w:t>a wide variety</w:t>
      </w:r>
      <w:r w:rsidR="00490137" w:rsidRPr="00600864">
        <w:t xml:space="preserve"> </w:t>
      </w:r>
      <w:r w:rsidR="00490137" w:rsidRPr="0049213E">
        <w:t>of art</w:t>
      </w:r>
      <w:r w:rsidR="00490137" w:rsidRPr="009770C3">
        <w:t>icles</w:t>
      </w:r>
      <w:r w:rsidR="00A0552E" w:rsidRPr="009770C3">
        <w:t>,</w:t>
      </w:r>
      <w:r w:rsidR="00490137" w:rsidRPr="009770C3">
        <w:t xml:space="preserve"> which, as a r</w:t>
      </w:r>
      <w:r w:rsidR="0043372F" w:rsidRPr="009770C3">
        <w:t>esult, may release formaldehyde</w:t>
      </w:r>
      <w:r w:rsidR="00490137" w:rsidRPr="009770C3">
        <w:t>. The primary use of formaldehyde-based resins is in the manufacturing</w:t>
      </w:r>
      <w:r w:rsidR="00490137" w:rsidRPr="00A77BAE">
        <w:t xml:space="preserve"> of wood-based panels, where they act as a bonding agent for wood particles. Such resins are also used in the production of </w:t>
      </w:r>
      <w:r w:rsidR="00490137" w:rsidRPr="00920BEE">
        <w:t xml:space="preserve">other wood-based products </w:t>
      </w:r>
      <w:r w:rsidR="0043372F" w:rsidRPr="00920BEE">
        <w:t>like furniture</w:t>
      </w:r>
      <w:r w:rsidR="0043372F" w:rsidRPr="00A77BAE">
        <w:t xml:space="preserve"> and flooring,</w:t>
      </w:r>
      <w:r w:rsidR="00490137" w:rsidRPr="00A77BAE">
        <w:t xml:space="preserve"> and for wallpapers, foams, parts for vehicles and aeroplanes, textile and leather products</w:t>
      </w:r>
      <w:r w:rsidR="0043372F" w:rsidRPr="00A77BAE">
        <w:t>.</w:t>
      </w:r>
      <w:r w:rsidR="002707FD" w:rsidRPr="00A77BAE">
        <w:t xml:space="preserve"> </w:t>
      </w:r>
    </w:p>
    <w:p w14:paraId="6FFC0176" w14:textId="6EE57F9A" w:rsidR="00BB4825" w:rsidRPr="00BA2754" w:rsidRDefault="00B00344" w:rsidP="008516B9">
      <w:pPr>
        <w:pStyle w:val="Considrant"/>
        <w:numPr>
          <w:ilvl w:val="0"/>
          <w:numId w:val="9"/>
        </w:numPr>
        <w:spacing w:before="240"/>
      </w:pPr>
      <w:r w:rsidRPr="00A77BAE">
        <w:t>On 20</w:t>
      </w:r>
      <w:r>
        <w:t xml:space="preserve"> December 2017</w:t>
      </w:r>
      <w:r>
        <w:rPr>
          <w:rStyle w:val="FootnoteReference"/>
        </w:rPr>
        <w:footnoteReference w:id="3"/>
      </w:r>
      <w:r>
        <w:t xml:space="preserve">, </w:t>
      </w:r>
      <w:r w:rsidR="004C077E" w:rsidRPr="004C077E">
        <w:t xml:space="preserve">pursuant to Article 69(1) of Regulation (EC) No 1907/2006 </w:t>
      </w:r>
      <w:r>
        <w:t xml:space="preserve">the </w:t>
      </w:r>
      <w:r w:rsidRPr="00887E72">
        <w:t xml:space="preserve">Commission </w:t>
      </w:r>
      <w:r w:rsidR="00C0526D" w:rsidRPr="00887E72">
        <w:t>asked</w:t>
      </w:r>
      <w:r w:rsidRPr="00887E72">
        <w:t xml:space="preserve"> the European Chemicals Agency (‘the Agency’)</w:t>
      </w:r>
      <w:r w:rsidRPr="00374B01">
        <w:t xml:space="preserve"> to prepare a dossier</w:t>
      </w:r>
      <w:r w:rsidRPr="00B17216">
        <w:t xml:space="preserve"> </w:t>
      </w:r>
      <w:r w:rsidR="004B5C8B" w:rsidRPr="00887E72">
        <w:t>w</w:t>
      </w:r>
      <w:r w:rsidR="00747005" w:rsidRPr="00887E72">
        <w:t>h</w:t>
      </w:r>
      <w:r w:rsidR="004B5C8B" w:rsidRPr="00887E72">
        <w:t>ich con</w:t>
      </w:r>
      <w:r w:rsidR="00747005" w:rsidRPr="00887E72">
        <w:t xml:space="preserve">forms to the requirements of Annex XV to that Regulation </w:t>
      </w:r>
      <w:r w:rsidR="00A0552E" w:rsidRPr="00887E72">
        <w:t xml:space="preserve">(hereinafter ‘the Annex XV dossier’), </w:t>
      </w:r>
      <w:r w:rsidR="00C0526D" w:rsidRPr="00887E72">
        <w:t xml:space="preserve">in order to assess the risk to human health from </w:t>
      </w:r>
      <w:r w:rsidR="00BB4825" w:rsidRPr="00887E72">
        <w:t xml:space="preserve">formaldehyde and </w:t>
      </w:r>
      <w:r w:rsidR="00643A77" w:rsidRPr="00887E72">
        <w:t>formaldehyde releasing</w:t>
      </w:r>
      <w:r w:rsidR="00643A77" w:rsidRPr="00643A77">
        <w:t xml:space="preserve"> substances</w:t>
      </w:r>
      <w:r w:rsidR="00BB4825">
        <w:t xml:space="preserve"> in mixtures and articles for consumer uses</w:t>
      </w:r>
      <w:r w:rsidR="00A0552E">
        <w:t>.</w:t>
      </w:r>
      <w:r w:rsidR="003E2CD4">
        <w:t xml:space="preserve"> </w:t>
      </w:r>
      <w:r w:rsidR="00C0526D" w:rsidRPr="00BA2754">
        <w:t xml:space="preserve"> </w:t>
      </w:r>
    </w:p>
    <w:p w14:paraId="31D10ACC" w14:textId="659569F8" w:rsidR="00B55D7F" w:rsidRDefault="001A62F3" w:rsidP="00825DC5">
      <w:pPr>
        <w:pStyle w:val="Considrant"/>
      </w:pPr>
      <w:r w:rsidRPr="00BA2754">
        <w:t xml:space="preserve">On </w:t>
      </w:r>
      <w:r w:rsidR="005F5A23">
        <w:t>11</w:t>
      </w:r>
      <w:r w:rsidR="005F5A23" w:rsidRPr="00BA2754">
        <w:t xml:space="preserve"> </w:t>
      </w:r>
      <w:r w:rsidR="000D6135" w:rsidRPr="00BA2754">
        <w:t>March 2019</w:t>
      </w:r>
      <w:r w:rsidR="00747791" w:rsidRPr="00BA2754">
        <w:t xml:space="preserve">, </w:t>
      </w:r>
      <w:r w:rsidR="00C0526D" w:rsidRPr="00BA2754">
        <w:t>the Agency</w:t>
      </w:r>
      <w:r w:rsidR="00E958FD">
        <w:t xml:space="preserve"> </w:t>
      </w:r>
      <w:r w:rsidR="006D09A2" w:rsidRPr="00BA2754">
        <w:t>(</w:t>
      </w:r>
      <w:r w:rsidR="00825DC5" w:rsidRPr="00825DC5">
        <w:t>to be known as ‘the Dossier Submitter’ in the con</w:t>
      </w:r>
      <w:r w:rsidR="00E958FD">
        <w:t>text of submission of a dossier</w:t>
      </w:r>
      <w:r w:rsidR="006D09A2" w:rsidRPr="00BA2754">
        <w:t xml:space="preserve">) </w:t>
      </w:r>
      <w:r w:rsidR="00747791" w:rsidRPr="00BA2754">
        <w:t>submitted the Annex XV dossier</w:t>
      </w:r>
      <w:r w:rsidR="00551586" w:rsidRPr="00BA2754">
        <w:rPr>
          <w:rStyle w:val="FootnoteReference"/>
        </w:rPr>
        <w:footnoteReference w:id="4"/>
      </w:r>
      <w:r w:rsidR="006B2A42">
        <w:t xml:space="preserve">, which </w:t>
      </w:r>
      <w:r w:rsidR="00BA79F7" w:rsidRPr="00BA2754">
        <w:t>demonstrated tha</w:t>
      </w:r>
      <w:r w:rsidR="005778BC" w:rsidRPr="00BA2754">
        <w:t xml:space="preserve">t </w:t>
      </w:r>
      <w:r w:rsidR="006B2A42">
        <w:t xml:space="preserve">the risk to </w:t>
      </w:r>
      <w:r w:rsidR="007A0E77" w:rsidRPr="00BA2754">
        <w:t xml:space="preserve">human health from formaldehyde released from consumer articles in indoor environments is not adequately controlled </w:t>
      </w:r>
      <w:r w:rsidR="006B2A42">
        <w:t>under</w:t>
      </w:r>
      <w:r w:rsidR="006B2A42" w:rsidRPr="00BA2754">
        <w:t xml:space="preserve"> </w:t>
      </w:r>
      <w:r w:rsidR="007A0E77" w:rsidRPr="00BA2754">
        <w:t>all scenarios</w:t>
      </w:r>
      <w:r w:rsidR="006B2A42">
        <w:t>, and</w:t>
      </w:r>
      <w:r w:rsidR="007A0E77" w:rsidRPr="00BA2754">
        <w:t xml:space="preserve"> </w:t>
      </w:r>
      <w:r w:rsidR="00643A77">
        <w:t>that</w:t>
      </w:r>
      <w:r w:rsidR="007A0E77" w:rsidRPr="00BA2754">
        <w:t xml:space="preserve"> </w:t>
      </w:r>
      <w:r w:rsidR="005778BC" w:rsidRPr="00BA2754">
        <w:t xml:space="preserve">action on a Union-wide basis </w:t>
      </w:r>
      <w:r w:rsidR="006B2A42">
        <w:t>is</w:t>
      </w:r>
      <w:r w:rsidR="006B2A42" w:rsidRPr="00BA2754">
        <w:t xml:space="preserve"> </w:t>
      </w:r>
      <w:r w:rsidR="00BA79F7" w:rsidRPr="00BA2754">
        <w:t>necessary</w:t>
      </w:r>
      <w:r w:rsidR="00A704C7">
        <w:t xml:space="preserve"> to address that risk</w:t>
      </w:r>
      <w:r w:rsidR="00E743DA">
        <w:t xml:space="preserve">. </w:t>
      </w:r>
    </w:p>
    <w:p w14:paraId="3B98028F" w14:textId="38C62F81" w:rsidR="005454D2" w:rsidRPr="00A77BAE" w:rsidRDefault="006D09A2" w:rsidP="00D31A88">
      <w:pPr>
        <w:pStyle w:val="Considrant"/>
      </w:pPr>
      <w:r w:rsidRPr="00416A86">
        <w:t xml:space="preserve">The Dossier </w:t>
      </w:r>
      <w:r w:rsidR="009C4C73" w:rsidRPr="00416A86">
        <w:t>Submitter</w:t>
      </w:r>
      <w:r w:rsidR="009C4C73">
        <w:t xml:space="preserve"> </w:t>
      </w:r>
      <w:r w:rsidR="007D7C0E" w:rsidRPr="00416A86">
        <w:t>assessed the</w:t>
      </w:r>
      <w:r w:rsidR="00F90625" w:rsidRPr="00416A86">
        <w:t xml:space="preserve"> hazard of </w:t>
      </w:r>
      <w:r w:rsidR="00091CDF" w:rsidRPr="00416A86">
        <w:t>formaldehyde</w:t>
      </w:r>
      <w:r w:rsidR="00F90625" w:rsidRPr="00416A86">
        <w:t xml:space="preserve"> </w:t>
      </w:r>
      <w:r w:rsidR="00F0772E" w:rsidRPr="00416A86">
        <w:t xml:space="preserve">by considering </w:t>
      </w:r>
      <w:r w:rsidR="00F90625" w:rsidRPr="00416A86">
        <w:t xml:space="preserve">the </w:t>
      </w:r>
      <w:r w:rsidR="00F90625" w:rsidRPr="00A77BAE">
        <w:t>effects of the substance on several endpoints</w:t>
      </w:r>
      <w:r w:rsidR="005454D2" w:rsidRPr="00A77BAE">
        <w:t>,</w:t>
      </w:r>
      <w:r w:rsidR="00091CDF" w:rsidRPr="00A77BAE">
        <w:t xml:space="preserve"> </w:t>
      </w:r>
      <w:r w:rsidR="00EE1650" w:rsidRPr="00A77BAE">
        <w:t>concluding</w:t>
      </w:r>
      <w:r w:rsidR="00054A65" w:rsidRPr="00A77BAE">
        <w:t xml:space="preserve"> that the risk</w:t>
      </w:r>
      <w:r w:rsidR="00091CDF" w:rsidRPr="00A77BAE">
        <w:t xml:space="preserve"> from inhalation </w:t>
      </w:r>
      <w:r w:rsidR="00054A65" w:rsidRPr="00A77BAE">
        <w:t>leading to sensory irritation is</w:t>
      </w:r>
      <w:r w:rsidR="00091CDF" w:rsidRPr="00A77BAE">
        <w:t xml:space="preserve"> the most </w:t>
      </w:r>
      <w:r w:rsidR="00054A65" w:rsidRPr="00A77BAE">
        <w:t>sensitive effect in humans</w:t>
      </w:r>
      <w:r w:rsidR="0025002F" w:rsidRPr="00A77BAE">
        <w:t xml:space="preserve">. </w:t>
      </w:r>
      <w:r w:rsidR="00091CDF" w:rsidRPr="00A77BAE">
        <w:t xml:space="preserve">The </w:t>
      </w:r>
      <w:r w:rsidR="005454D2" w:rsidRPr="00A77BAE">
        <w:t>Annex XV d</w:t>
      </w:r>
      <w:r w:rsidR="00091CDF" w:rsidRPr="00A77BAE">
        <w:t xml:space="preserve">ossier </w:t>
      </w:r>
      <w:r w:rsidR="00EE1650" w:rsidRPr="00A77BAE">
        <w:t xml:space="preserve">assessed the risks </w:t>
      </w:r>
      <w:r w:rsidR="005454D2" w:rsidRPr="00A77BAE">
        <w:t xml:space="preserve">from inhalation of formaldehyde </w:t>
      </w:r>
      <w:r w:rsidR="00EE1650" w:rsidRPr="00A77BAE">
        <w:t>associated to consumer exposure against the</w:t>
      </w:r>
      <w:r w:rsidR="007B6627" w:rsidRPr="00A77BAE">
        <w:t xml:space="preserve"> </w:t>
      </w:r>
      <w:r w:rsidR="009F6793" w:rsidRPr="00A77BAE">
        <w:t>World Health Organization (</w:t>
      </w:r>
      <w:r w:rsidR="007B6627" w:rsidRPr="00A77BAE">
        <w:t>WHO</w:t>
      </w:r>
      <w:r w:rsidR="009F6793" w:rsidRPr="00A77BAE">
        <w:t>)</w:t>
      </w:r>
      <w:r w:rsidR="007B6627" w:rsidRPr="00A77BAE">
        <w:t xml:space="preserve"> Guideline for Indoor Air Quality for formaldehyde (30-minute average concentration based on sensory irritation in humans)</w:t>
      </w:r>
      <w:r w:rsidR="007B6627" w:rsidRPr="00A77BAE">
        <w:rPr>
          <w:rStyle w:val="FootnoteReference"/>
        </w:rPr>
        <w:footnoteReference w:id="5"/>
      </w:r>
      <w:r w:rsidR="005454D2" w:rsidRPr="00A77BAE">
        <w:t>. The Guideline</w:t>
      </w:r>
      <w:r w:rsidR="009052E6">
        <w:t xml:space="preserve"> </w:t>
      </w:r>
      <w:r w:rsidR="00F55401">
        <w:t>provides for</w:t>
      </w:r>
      <w:r w:rsidR="00864ECF">
        <w:t xml:space="preserve"> </w:t>
      </w:r>
      <w:r w:rsidR="005454D2" w:rsidRPr="00A77BAE">
        <w:t xml:space="preserve">a </w:t>
      </w:r>
      <w:r w:rsidR="008177B5">
        <w:t xml:space="preserve">short-term value </w:t>
      </w:r>
      <w:r w:rsidR="009052E6">
        <w:t>(</w:t>
      </w:r>
      <w:r w:rsidR="005454D2" w:rsidRPr="00A77BAE">
        <w:t>0,1 mg/m</w:t>
      </w:r>
      <w:r w:rsidR="005454D2" w:rsidRPr="00A77BAE">
        <w:rPr>
          <w:vertAlign w:val="superscript"/>
        </w:rPr>
        <w:t>3</w:t>
      </w:r>
      <w:r w:rsidR="009052E6">
        <w:t>)</w:t>
      </w:r>
      <w:r w:rsidR="005454D2" w:rsidRPr="00A77BAE">
        <w:rPr>
          <w:vertAlign w:val="superscript"/>
        </w:rPr>
        <w:t xml:space="preserve"> </w:t>
      </w:r>
      <w:r w:rsidR="005454D2" w:rsidRPr="00A77BAE">
        <w:t xml:space="preserve">with a view to </w:t>
      </w:r>
      <w:r w:rsidR="00EE1650" w:rsidRPr="00A77BAE">
        <w:t>prevent</w:t>
      </w:r>
      <w:r w:rsidR="005454D2" w:rsidRPr="00A77BAE">
        <w:t>ing</w:t>
      </w:r>
      <w:r w:rsidR="00EE1650" w:rsidRPr="00A77BAE">
        <w:t xml:space="preserve"> detrimental effects on lung function</w:t>
      </w:r>
      <w:r w:rsidR="005454D2" w:rsidRPr="00A77BAE">
        <w:t>,</w:t>
      </w:r>
      <w:r w:rsidR="00EE1650" w:rsidRPr="00A77BAE">
        <w:t xml:space="preserve"> as well as long-term health effects, including nasopharyngeal cancer.</w:t>
      </w:r>
      <w:r w:rsidR="00430591" w:rsidRPr="00A77BAE">
        <w:t xml:space="preserve"> </w:t>
      </w:r>
      <w:r w:rsidR="008177B5">
        <w:t>The Dossier Submitter</w:t>
      </w:r>
      <w:r w:rsidR="009C4C73">
        <w:t xml:space="preserve"> </w:t>
      </w:r>
      <w:r w:rsidR="008177B5">
        <w:t xml:space="preserve">used </w:t>
      </w:r>
      <w:r w:rsidR="00F55401">
        <w:t>that value</w:t>
      </w:r>
      <w:r w:rsidR="008177B5">
        <w:t xml:space="preserve"> </w:t>
      </w:r>
      <w:r w:rsidR="008177B5" w:rsidRPr="00B71D8B">
        <w:t xml:space="preserve">as </w:t>
      </w:r>
      <w:r w:rsidR="00F55401">
        <w:t>the level above which humans should not be exposed (</w:t>
      </w:r>
      <w:r w:rsidR="008177B5" w:rsidRPr="00B71D8B">
        <w:t>derived no-effect level (‘DNEL’)</w:t>
      </w:r>
      <w:r w:rsidR="009C4C73">
        <w:t xml:space="preserve"> and to calculate the proposed emission limit of 0</w:t>
      </w:r>
      <w:r w:rsidR="00825DC5">
        <w:t>,</w:t>
      </w:r>
      <w:r w:rsidR="009C4C73">
        <w:t>124 mg/m</w:t>
      </w:r>
      <w:r w:rsidR="009C4C73" w:rsidRPr="009C4C73">
        <w:rPr>
          <w:vertAlign w:val="superscript"/>
        </w:rPr>
        <w:t>3</w:t>
      </w:r>
      <w:r w:rsidR="009052E6">
        <w:t>.</w:t>
      </w:r>
    </w:p>
    <w:p w14:paraId="51A7089B" w14:textId="2AA5861B" w:rsidR="002E4731" w:rsidRDefault="00430591" w:rsidP="002679A4">
      <w:pPr>
        <w:pStyle w:val="Considrant"/>
      </w:pPr>
      <w:r w:rsidRPr="00A77BAE">
        <w:t xml:space="preserve">Based on available literature and the outcome of the exposure estimation, the Dossier Submitter concluded that </w:t>
      </w:r>
      <w:r w:rsidR="002B4819" w:rsidRPr="00A77BAE">
        <w:t xml:space="preserve">human health risks from formaldehyde release </w:t>
      </w:r>
      <w:r w:rsidR="00BC3739">
        <w:t>from</w:t>
      </w:r>
      <w:r w:rsidR="00D26F5B">
        <w:t xml:space="preserve"> </w:t>
      </w:r>
      <w:r w:rsidR="002B4819" w:rsidRPr="00A77BAE">
        <w:t xml:space="preserve">mixtures for consumer use </w:t>
      </w:r>
      <w:r w:rsidR="00016305" w:rsidRPr="00A77BAE">
        <w:t xml:space="preserve">are </w:t>
      </w:r>
      <w:r w:rsidR="002B4819" w:rsidRPr="00A77BAE">
        <w:t>adequately controlled</w:t>
      </w:r>
      <w:r w:rsidRPr="00A77BAE">
        <w:t xml:space="preserve">. </w:t>
      </w:r>
    </w:p>
    <w:p w14:paraId="575A7DD5" w14:textId="25858A15" w:rsidR="00AC5DA1" w:rsidRDefault="002E4731" w:rsidP="00311258">
      <w:pPr>
        <w:pStyle w:val="Considrant"/>
      </w:pPr>
      <w:r>
        <w:t xml:space="preserve">The Annex XV dossier therefore </w:t>
      </w:r>
      <w:r w:rsidRPr="00BA2754">
        <w:t>proposed</w:t>
      </w:r>
      <w:r w:rsidR="001207C2">
        <w:t xml:space="preserve"> </w:t>
      </w:r>
      <w:r w:rsidRPr="00BA2754">
        <w:t xml:space="preserve">to </w:t>
      </w:r>
      <w:r>
        <w:t>prohibit</w:t>
      </w:r>
      <w:r w:rsidRPr="00BA2754">
        <w:t xml:space="preserve"> the placing on the market of</w:t>
      </w:r>
      <w:r>
        <w:t xml:space="preserve"> </w:t>
      </w:r>
      <w:r w:rsidRPr="00BA2754">
        <w:t>formaldehyde</w:t>
      </w:r>
      <w:r w:rsidR="008C1E3B">
        <w:t xml:space="preserve"> and formaldehyde releasing substances</w:t>
      </w:r>
      <w:r w:rsidR="002971C8">
        <w:t xml:space="preserve"> in</w:t>
      </w:r>
      <w:r>
        <w:t xml:space="preserve"> </w:t>
      </w:r>
      <w:r w:rsidRPr="00BA2754">
        <w:t xml:space="preserve">articles </w:t>
      </w:r>
      <w:r w:rsidR="00B521E2">
        <w:t>generating</w:t>
      </w:r>
      <w:r w:rsidR="009D5ABF">
        <w:t xml:space="preserve"> consumer exposure </w:t>
      </w:r>
      <w:r w:rsidR="002971C8">
        <w:t xml:space="preserve">where </w:t>
      </w:r>
      <w:r w:rsidR="00B521E2">
        <w:t xml:space="preserve">the </w:t>
      </w:r>
      <w:r w:rsidR="00B975DC">
        <w:t xml:space="preserve">formaldehyde </w:t>
      </w:r>
      <w:r w:rsidR="002971C8">
        <w:t>release</w:t>
      </w:r>
      <w:r w:rsidR="005D3180">
        <w:t>s</w:t>
      </w:r>
      <w:r w:rsidR="002971C8">
        <w:t xml:space="preserve"> </w:t>
      </w:r>
      <w:r>
        <w:t xml:space="preserve">lead to </w:t>
      </w:r>
      <w:r w:rsidR="00AD5AD4">
        <w:t>concentrations</w:t>
      </w:r>
      <w:r w:rsidR="005F5A23">
        <w:t xml:space="preserve"> </w:t>
      </w:r>
      <w:r>
        <w:t>exceed</w:t>
      </w:r>
      <w:r w:rsidR="001207C2">
        <w:t>ing</w:t>
      </w:r>
      <w:r w:rsidRPr="00BA2754">
        <w:t xml:space="preserve"> 0</w:t>
      </w:r>
      <w:r>
        <w:t>,</w:t>
      </w:r>
      <w:r w:rsidRPr="00BA2754">
        <w:t>124</w:t>
      </w:r>
      <w:r>
        <w:t> </w:t>
      </w:r>
      <w:r w:rsidRPr="00BA2754">
        <w:t>mg/m</w:t>
      </w:r>
      <w:r w:rsidRPr="00AC5DA1">
        <w:rPr>
          <w:vertAlign w:val="superscript"/>
        </w:rPr>
        <w:t>3</w:t>
      </w:r>
      <w:r w:rsidR="005F5A23">
        <w:rPr>
          <w:vertAlign w:val="superscript"/>
        </w:rPr>
        <w:t xml:space="preserve"> </w:t>
      </w:r>
      <w:r w:rsidR="005F5A23" w:rsidRPr="005F5A23">
        <w:t>in the air of a test chamber</w:t>
      </w:r>
      <w:r>
        <w:t xml:space="preserve">. Moreover, </w:t>
      </w:r>
      <w:r w:rsidR="003F39A9">
        <w:t xml:space="preserve">the Annex XV dossier specified that </w:t>
      </w:r>
      <w:r>
        <w:t>formaldehyde in road vehicles and aircraft, where formaldehyde or formaldehyde</w:t>
      </w:r>
      <w:r w:rsidR="00120FAF">
        <w:t xml:space="preserve"> </w:t>
      </w:r>
      <w:r>
        <w:t xml:space="preserve">releasing substances were intentionally added </w:t>
      </w:r>
      <w:r w:rsidR="0062341A">
        <w:t>during</w:t>
      </w:r>
      <w:r>
        <w:t xml:space="preserve"> their production, should not be placed on the market if the formaldehyde measured in their interior exceeds a concentration of 0,1 mg/m</w:t>
      </w:r>
      <w:r w:rsidRPr="00AC5DA1">
        <w:rPr>
          <w:vertAlign w:val="superscript"/>
        </w:rPr>
        <w:t>3</w:t>
      </w:r>
      <w:r w:rsidRPr="00B55D7F">
        <w:t xml:space="preserve"> </w:t>
      </w:r>
      <w:r>
        <w:t>and where exposure of formaldehyde to consumers can occur there.</w:t>
      </w:r>
      <w:r w:rsidR="00AC5DA1">
        <w:t xml:space="preserve"> </w:t>
      </w:r>
    </w:p>
    <w:p w14:paraId="3904BA87" w14:textId="60D55E13" w:rsidR="002971C8" w:rsidRPr="00A77BAE" w:rsidRDefault="002971C8" w:rsidP="002971C8">
      <w:pPr>
        <w:pStyle w:val="Considrant"/>
      </w:pPr>
      <w:r w:rsidRPr="002971C8">
        <w:t>The Dossier Submitter’s original</w:t>
      </w:r>
      <w:r w:rsidR="00094BDE">
        <w:t xml:space="preserve"> proposal established EN 717-1 </w:t>
      </w:r>
      <w:r w:rsidRPr="002971C8">
        <w:t>as the standard method to measure in a test chamber the emission</w:t>
      </w:r>
      <w:r w:rsidR="00710554">
        <w:t xml:space="preserve">s </w:t>
      </w:r>
      <w:r w:rsidRPr="002971C8">
        <w:t xml:space="preserve">for formaldehyde released from </w:t>
      </w:r>
      <w:r w:rsidR="0062341A" w:rsidRPr="00E958FD">
        <w:t xml:space="preserve">wood </w:t>
      </w:r>
      <w:r w:rsidR="00E958FD">
        <w:t>based</w:t>
      </w:r>
      <w:r w:rsidR="006B1BD1" w:rsidRPr="00E958FD">
        <w:t xml:space="preserve"> </w:t>
      </w:r>
      <w:r w:rsidR="0062341A" w:rsidRPr="00E958FD">
        <w:t>panels</w:t>
      </w:r>
      <w:r w:rsidRPr="002971C8">
        <w:t xml:space="preserve">. To clarify that other suitable test methods can also be used and to cover articles </w:t>
      </w:r>
      <w:r w:rsidR="003D1190" w:rsidRPr="002971C8">
        <w:t xml:space="preserve">other </w:t>
      </w:r>
      <w:r w:rsidRPr="002971C8">
        <w:t xml:space="preserve">than wood-based panels, the Dossier Submitter replaced the reference to </w:t>
      </w:r>
      <w:r w:rsidR="00120FAF">
        <w:t xml:space="preserve">standard </w:t>
      </w:r>
      <w:r w:rsidRPr="002971C8">
        <w:t xml:space="preserve">EN 717-1 </w:t>
      </w:r>
      <w:r w:rsidR="00F379D9">
        <w:t xml:space="preserve">in </w:t>
      </w:r>
      <w:r w:rsidR="001A4A0F">
        <w:t>its proposal</w:t>
      </w:r>
      <w:r w:rsidR="00F379D9">
        <w:t xml:space="preserve"> </w:t>
      </w:r>
      <w:r w:rsidRPr="002971C8">
        <w:t>by a wider description of conditions and methods. Ambient conditions may have an influence on formaldehyde emissions from articles and therefore relevant testing parameters</w:t>
      </w:r>
      <w:r w:rsidR="003F39A9">
        <w:t xml:space="preserve"> </w:t>
      </w:r>
      <w:r w:rsidR="0062341A" w:rsidRPr="002971C8">
        <w:t>were also listed</w:t>
      </w:r>
      <w:r w:rsidR="0062341A">
        <w:t xml:space="preserve"> </w:t>
      </w:r>
      <w:r w:rsidR="003F39A9">
        <w:t>in the Annex XV dossier</w:t>
      </w:r>
      <w:r w:rsidRPr="002971C8">
        <w:t xml:space="preserve">. </w:t>
      </w:r>
    </w:p>
    <w:p w14:paraId="05749700" w14:textId="1F709356" w:rsidR="00016305" w:rsidRPr="00A77BAE" w:rsidRDefault="00747791" w:rsidP="00383CB5">
      <w:pPr>
        <w:pStyle w:val="Considrant"/>
      </w:pPr>
      <w:r w:rsidRPr="00A77BAE">
        <w:t xml:space="preserve">On </w:t>
      </w:r>
      <w:r w:rsidR="002B4819" w:rsidRPr="00A77BAE">
        <w:t>13 March 2020</w:t>
      </w:r>
      <w:r w:rsidRPr="00A77BAE">
        <w:t>, the Agency’s Committee for Risk Assessment (‘RAC’) adopted its opinion</w:t>
      </w:r>
      <w:r w:rsidR="00432222">
        <w:t>. In its opinion,</w:t>
      </w:r>
      <w:r w:rsidR="005D797C" w:rsidRPr="00A77BAE">
        <w:t xml:space="preserve"> RAC </w:t>
      </w:r>
      <w:r w:rsidR="00016305" w:rsidRPr="00A77BAE">
        <w:t>considered</w:t>
      </w:r>
      <w:r w:rsidR="005D797C" w:rsidRPr="00A77BAE">
        <w:t xml:space="preserve"> the WHO guideline value </w:t>
      </w:r>
      <w:r w:rsidR="00016305" w:rsidRPr="00A77BAE">
        <w:t xml:space="preserve">not </w:t>
      </w:r>
      <w:r w:rsidR="005D797C" w:rsidRPr="00A77BAE">
        <w:t xml:space="preserve">sufficiently protective for the general population and </w:t>
      </w:r>
      <w:r w:rsidR="00016305" w:rsidRPr="00A77BAE">
        <w:t xml:space="preserve">concluded </w:t>
      </w:r>
      <w:r w:rsidR="005D797C" w:rsidRPr="00A77BAE">
        <w:t>in particular that short</w:t>
      </w:r>
      <w:r w:rsidR="001749B0" w:rsidRPr="00A77BAE">
        <w:t>-</w:t>
      </w:r>
      <w:r w:rsidR="005D797C" w:rsidRPr="00A77BAE">
        <w:t xml:space="preserve">term </w:t>
      </w:r>
      <w:r w:rsidR="009C4329" w:rsidRPr="00A77BAE">
        <w:t xml:space="preserve">sensory irritation effects in humans </w:t>
      </w:r>
      <w:r w:rsidR="005D797C" w:rsidRPr="00A77BAE">
        <w:t>can</w:t>
      </w:r>
      <w:r w:rsidR="00016305" w:rsidRPr="00A77BAE">
        <w:t>not</w:t>
      </w:r>
      <w:r w:rsidR="005D797C" w:rsidRPr="00A77BAE">
        <w:t xml:space="preserve"> be used to predict long-term effects</w:t>
      </w:r>
      <w:r w:rsidR="001749B0" w:rsidRPr="00A77BAE">
        <w:t xml:space="preserve"> such </w:t>
      </w:r>
      <w:r w:rsidR="00A558D5" w:rsidRPr="00A77BAE">
        <w:t xml:space="preserve">as </w:t>
      </w:r>
      <w:r w:rsidR="001749B0" w:rsidRPr="00A77BAE">
        <w:t>cancer</w:t>
      </w:r>
      <w:r w:rsidR="009C4329" w:rsidRPr="00A77BAE">
        <w:t xml:space="preserve">. </w:t>
      </w:r>
      <w:r w:rsidR="005D797C" w:rsidRPr="00A77BAE">
        <w:t xml:space="preserve">RAC </w:t>
      </w:r>
      <w:r w:rsidR="001749B0" w:rsidRPr="00A77BAE">
        <w:t xml:space="preserve">instead </w:t>
      </w:r>
      <w:r w:rsidR="00620BC6" w:rsidRPr="00A77BAE">
        <w:t>set</w:t>
      </w:r>
      <w:r w:rsidR="005D797C" w:rsidRPr="00A77BAE">
        <w:t xml:space="preserve"> a DNEL of 0</w:t>
      </w:r>
      <w:r w:rsidR="00016305" w:rsidRPr="00A77BAE">
        <w:t>,</w:t>
      </w:r>
      <w:r w:rsidR="005D797C" w:rsidRPr="00A77BAE">
        <w:t>05 mg/m</w:t>
      </w:r>
      <w:r w:rsidR="005D797C" w:rsidRPr="00A77BAE">
        <w:rPr>
          <w:vertAlign w:val="superscript"/>
        </w:rPr>
        <w:t>3</w:t>
      </w:r>
      <w:r w:rsidR="005D797C" w:rsidRPr="00A77BAE">
        <w:t xml:space="preserve"> </w:t>
      </w:r>
      <w:r w:rsidR="00620BC6" w:rsidRPr="00A77BAE">
        <w:t xml:space="preserve">derived from data on </w:t>
      </w:r>
      <w:r w:rsidR="009C4329" w:rsidRPr="00A77BAE">
        <w:t>chronic effects in animal</w:t>
      </w:r>
      <w:r w:rsidR="00620BC6" w:rsidRPr="00A77BAE">
        <w:t>s</w:t>
      </w:r>
      <w:r w:rsidR="009C4329" w:rsidRPr="00A77BAE">
        <w:t xml:space="preserve"> </w:t>
      </w:r>
      <w:r w:rsidR="005D797C" w:rsidRPr="00A77BAE">
        <w:t xml:space="preserve">for the inhalation route and </w:t>
      </w:r>
      <w:r w:rsidR="0081420D">
        <w:t>concluded that</w:t>
      </w:r>
      <w:r w:rsidR="003C6913" w:rsidRPr="00A77BAE">
        <w:t xml:space="preserve"> </w:t>
      </w:r>
      <w:r w:rsidR="00A558D5" w:rsidRPr="00A77BAE">
        <w:t xml:space="preserve">a </w:t>
      </w:r>
      <w:r w:rsidR="005D797C" w:rsidRPr="00A77BAE">
        <w:t xml:space="preserve">limit value </w:t>
      </w:r>
      <w:r w:rsidR="00016305" w:rsidRPr="00A77BAE">
        <w:t>of 0,05 mg/m</w:t>
      </w:r>
      <w:r w:rsidR="00016305" w:rsidRPr="00A77BAE">
        <w:rPr>
          <w:vertAlign w:val="superscript"/>
        </w:rPr>
        <w:t>3</w:t>
      </w:r>
      <w:r w:rsidR="00A558D5" w:rsidRPr="00A77BAE">
        <w:rPr>
          <w:vertAlign w:val="superscript"/>
        </w:rPr>
        <w:t xml:space="preserve"> </w:t>
      </w:r>
      <w:r w:rsidR="005D797C" w:rsidRPr="00A77BAE">
        <w:t xml:space="preserve">for formaldehyde </w:t>
      </w:r>
      <w:r w:rsidR="00016305" w:rsidRPr="00A77BAE">
        <w:t xml:space="preserve">released </w:t>
      </w:r>
      <w:r w:rsidR="005D797C" w:rsidRPr="00A77BAE">
        <w:t xml:space="preserve">from articles and for formaldehyde in </w:t>
      </w:r>
      <w:r w:rsidR="00A558D5" w:rsidRPr="00A77BAE">
        <w:t xml:space="preserve">the </w:t>
      </w:r>
      <w:r w:rsidR="005D797C" w:rsidRPr="00A77BAE">
        <w:t>interior of road vehicles</w:t>
      </w:r>
      <w:r w:rsidR="0081420D">
        <w:t xml:space="preserve"> was needed to control the risk</w:t>
      </w:r>
      <w:r w:rsidR="001749B0" w:rsidRPr="00A77BAE">
        <w:t xml:space="preserve">. </w:t>
      </w:r>
    </w:p>
    <w:p w14:paraId="64D19930" w14:textId="0E434385" w:rsidR="00016305" w:rsidRPr="00296D2B" w:rsidRDefault="001749B0" w:rsidP="00383CB5">
      <w:pPr>
        <w:pStyle w:val="Considrant"/>
      </w:pPr>
      <w:r w:rsidRPr="00A77BAE">
        <w:t xml:space="preserve">RAC concluded that </w:t>
      </w:r>
      <w:r w:rsidR="00016305" w:rsidRPr="00A77BAE">
        <w:t xml:space="preserve">the </w:t>
      </w:r>
      <w:r w:rsidRPr="00A77BAE">
        <w:t xml:space="preserve">risk to </w:t>
      </w:r>
      <w:r w:rsidR="00313264">
        <w:t xml:space="preserve">passengers from </w:t>
      </w:r>
      <w:r w:rsidRPr="00A77BAE">
        <w:t>formaldehyde in aircraft is adequately</w:t>
      </w:r>
      <w:r w:rsidRPr="00296D2B">
        <w:t xml:space="preserve"> controlled. </w:t>
      </w:r>
    </w:p>
    <w:p w14:paraId="57EEBD7F" w14:textId="45AD357B" w:rsidR="00747791" w:rsidRPr="00296D2B" w:rsidRDefault="001749B0" w:rsidP="00383CB5">
      <w:pPr>
        <w:pStyle w:val="Considrant"/>
      </w:pPr>
      <w:r w:rsidRPr="00296D2B">
        <w:t>RAC recommended a</w:t>
      </w:r>
      <w:r w:rsidR="003C6913" w:rsidRPr="00296D2B">
        <w:t xml:space="preserve"> </w:t>
      </w:r>
      <w:r w:rsidRPr="00296D2B">
        <w:t xml:space="preserve">transitional period </w:t>
      </w:r>
      <w:r w:rsidR="00B64A8C" w:rsidRPr="00296D2B">
        <w:t>of 24 months</w:t>
      </w:r>
      <w:r w:rsidR="00016305" w:rsidRPr="00296D2B">
        <w:t xml:space="preserve"> </w:t>
      </w:r>
      <w:r w:rsidR="00A558D5" w:rsidRPr="00296D2B">
        <w:t xml:space="preserve">from </w:t>
      </w:r>
      <w:r w:rsidR="00432222">
        <w:t xml:space="preserve">the </w:t>
      </w:r>
      <w:r w:rsidR="00A558D5" w:rsidRPr="00296D2B">
        <w:t xml:space="preserve">entry into force </w:t>
      </w:r>
      <w:r w:rsidR="00213544">
        <w:t>until the</w:t>
      </w:r>
      <w:r w:rsidR="00016305" w:rsidRPr="00296D2B">
        <w:t xml:space="preserve"> application of the proposed restriction</w:t>
      </w:r>
      <w:r w:rsidR="00B64A8C" w:rsidRPr="00296D2B">
        <w:t xml:space="preserve">, compared to </w:t>
      </w:r>
      <w:r w:rsidR="007A19A2">
        <w:t xml:space="preserve">the </w:t>
      </w:r>
      <w:r w:rsidR="00B64A8C" w:rsidRPr="00296D2B">
        <w:t xml:space="preserve">12 months </w:t>
      </w:r>
      <w:r w:rsidR="007A19A2">
        <w:t xml:space="preserve">suggested </w:t>
      </w:r>
      <w:r w:rsidR="00B64A8C" w:rsidRPr="00296D2B">
        <w:t xml:space="preserve">by the Dossier Submitter, </w:t>
      </w:r>
      <w:r w:rsidR="000A19B3" w:rsidRPr="00296D2B">
        <w:t xml:space="preserve">as a </w:t>
      </w:r>
      <w:r w:rsidR="003D3041" w:rsidRPr="00296D2B">
        <w:t>longer time</w:t>
      </w:r>
      <w:r w:rsidR="000A19B3" w:rsidRPr="00296D2B">
        <w:t xml:space="preserve"> was consider</w:t>
      </w:r>
      <w:r w:rsidR="00016305" w:rsidRPr="00296D2B">
        <w:t>ed</w:t>
      </w:r>
      <w:r w:rsidR="000A19B3" w:rsidRPr="00296D2B">
        <w:t xml:space="preserve"> necessary to allow for the development of standard analytical methods</w:t>
      </w:r>
      <w:r w:rsidR="003C6913" w:rsidRPr="00296D2B">
        <w:t xml:space="preserve"> in all sectors affected</w:t>
      </w:r>
      <w:r w:rsidR="000A19B3" w:rsidRPr="00296D2B">
        <w:t xml:space="preserve">. RAC concluded that </w:t>
      </w:r>
      <w:r w:rsidR="00747791" w:rsidRPr="00296D2B">
        <w:t>the proposed restriction</w:t>
      </w:r>
      <w:r w:rsidR="00E15AD0" w:rsidRPr="00296D2B">
        <w:t>, as modified by RAC,</w:t>
      </w:r>
      <w:r w:rsidR="00383CB5" w:rsidRPr="00296D2B">
        <w:t xml:space="preserve"> </w:t>
      </w:r>
      <w:r w:rsidR="00747791" w:rsidRPr="00296D2B">
        <w:t xml:space="preserve">is the most appropriate Union-wide measure to address the identified risks </w:t>
      </w:r>
      <w:r w:rsidR="00213544">
        <w:t xml:space="preserve">to human health </w:t>
      </w:r>
      <w:r w:rsidR="00747791" w:rsidRPr="00296D2B">
        <w:t xml:space="preserve">arising from </w:t>
      </w:r>
      <w:r w:rsidR="000A19B3" w:rsidRPr="00296D2B">
        <w:t xml:space="preserve">consumer </w:t>
      </w:r>
      <w:r w:rsidR="001B6EF3" w:rsidRPr="00296D2B">
        <w:t xml:space="preserve">exposure </w:t>
      </w:r>
      <w:r w:rsidR="001A0C7A">
        <w:t>to</w:t>
      </w:r>
      <w:r w:rsidR="001A0C7A" w:rsidRPr="00296D2B">
        <w:t xml:space="preserve"> formaldehyde</w:t>
      </w:r>
      <w:r w:rsidR="00016305" w:rsidRPr="00296D2B">
        <w:t>,</w:t>
      </w:r>
      <w:r w:rsidR="004F0A0A" w:rsidRPr="00296D2B">
        <w:t xml:space="preserve"> in terms of </w:t>
      </w:r>
      <w:r w:rsidR="00292B86" w:rsidRPr="00296D2B">
        <w:t>its</w:t>
      </w:r>
      <w:r w:rsidR="004F0A0A" w:rsidRPr="00296D2B">
        <w:t xml:space="preserve"> effectiveness in reducing the risk, </w:t>
      </w:r>
      <w:r w:rsidR="00292B86" w:rsidRPr="00296D2B">
        <w:t xml:space="preserve">its </w:t>
      </w:r>
      <w:r w:rsidR="004F0A0A" w:rsidRPr="00296D2B">
        <w:t xml:space="preserve">practicality and </w:t>
      </w:r>
      <w:r w:rsidR="004F52B5">
        <w:t xml:space="preserve">the </w:t>
      </w:r>
      <w:r w:rsidR="00183E23">
        <w:t xml:space="preserve">manner in </w:t>
      </w:r>
      <w:r w:rsidR="004F52B5">
        <w:t xml:space="preserve">which it can be </w:t>
      </w:r>
      <w:r w:rsidR="004F0A0A" w:rsidRPr="00183E23">
        <w:t>monitor</w:t>
      </w:r>
      <w:r w:rsidR="004F52B5" w:rsidRPr="00183E23">
        <w:t>ed</w:t>
      </w:r>
      <w:r w:rsidR="00747791" w:rsidRPr="00183E23">
        <w:t>.</w:t>
      </w:r>
    </w:p>
    <w:p w14:paraId="7CE8A306" w14:textId="674562C6" w:rsidR="001F6EBF" w:rsidRDefault="00C71FB1" w:rsidP="00054A65">
      <w:pPr>
        <w:pStyle w:val="Considrant"/>
      </w:pPr>
      <w:r w:rsidRPr="00A76512">
        <w:t xml:space="preserve">On </w:t>
      </w:r>
      <w:r w:rsidR="00570774" w:rsidRPr="00A76512">
        <w:t>17</w:t>
      </w:r>
      <w:r w:rsidR="00ED5C55" w:rsidRPr="00A76512">
        <w:t xml:space="preserve"> September 20</w:t>
      </w:r>
      <w:r w:rsidR="00570774" w:rsidRPr="00A76512">
        <w:t>20</w:t>
      </w:r>
      <w:r w:rsidR="008C495D" w:rsidRPr="00A76512">
        <w:t xml:space="preserve">, the </w:t>
      </w:r>
      <w:r w:rsidR="008C495D" w:rsidRPr="00B71D8B">
        <w:t>Agency’s</w:t>
      </w:r>
      <w:r w:rsidR="008C495D" w:rsidRPr="00A76512">
        <w:t xml:space="preserve"> Committee for Socio-Economic Analysis (‘SEAC’)</w:t>
      </w:r>
      <w:r w:rsidRPr="00A76512">
        <w:t xml:space="preserve"> adopted its opinion</w:t>
      </w:r>
      <w:r w:rsidR="00C43F63" w:rsidRPr="00A76512">
        <w:t>,</w:t>
      </w:r>
      <w:r w:rsidR="00CA1E2A" w:rsidRPr="00A76512">
        <w:t xml:space="preserve"> </w:t>
      </w:r>
      <w:r w:rsidR="001F6EBF">
        <w:t xml:space="preserve">concluding on the Dossier Submitter’s </w:t>
      </w:r>
      <w:r w:rsidR="00311258">
        <w:t xml:space="preserve">proposed </w:t>
      </w:r>
      <w:r w:rsidR="001F6EBF">
        <w:t xml:space="preserve">restriction and the </w:t>
      </w:r>
      <w:r w:rsidR="003343B2">
        <w:t xml:space="preserve">modifications </w:t>
      </w:r>
      <w:r w:rsidR="001F6EBF">
        <w:t xml:space="preserve">proposed by RAC. </w:t>
      </w:r>
    </w:p>
    <w:p w14:paraId="03C320FC" w14:textId="5C8BCE52" w:rsidR="001F6EBF" w:rsidRDefault="001F6EBF" w:rsidP="005252AA">
      <w:pPr>
        <w:pStyle w:val="Considrant"/>
      </w:pPr>
      <w:r>
        <w:t xml:space="preserve">In its opinion, SEAC acknowledged that the </w:t>
      </w:r>
      <w:r w:rsidR="00241D31">
        <w:t xml:space="preserve">Dossier Submitter’s </w:t>
      </w:r>
      <w:r>
        <w:t>proposal entail</w:t>
      </w:r>
      <w:r w:rsidR="00A558D5">
        <w:t>s</w:t>
      </w:r>
      <w:r>
        <w:t xml:space="preserve"> costs in terms of</w:t>
      </w:r>
      <w:r w:rsidR="006D70F2">
        <w:t xml:space="preserve"> production,</w:t>
      </w:r>
      <w:r>
        <w:t xml:space="preserve"> sampling, testing and enforcement in the order of tens of millions of euros</w:t>
      </w:r>
      <w:r w:rsidR="002F0646">
        <w:t>. H</w:t>
      </w:r>
      <w:r>
        <w:t xml:space="preserve">owever, SEAC concluded that those costs are expected to be limited for the concerned </w:t>
      </w:r>
      <w:r w:rsidR="00241D31">
        <w:t>sectors,</w:t>
      </w:r>
      <w:r w:rsidR="002F0646">
        <w:t xml:space="preserve"> as most of the articles</w:t>
      </w:r>
      <w:r w:rsidR="009D2C41">
        <w:t>, including road vehicles,</w:t>
      </w:r>
      <w:r w:rsidR="002F0646">
        <w:t xml:space="preserve"> </w:t>
      </w:r>
      <w:r w:rsidR="00241D31">
        <w:t xml:space="preserve">placed </w:t>
      </w:r>
      <w:r w:rsidR="002F0646">
        <w:t>on the market</w:t>
      </w:r>
      <w:r w:rsidR="00427E15">
        <w:t xml:space="preserve"> </w:t>
      </w:r>
      <w:r w:rsidR="00241D31">
        <w:t xml:space="preserve">in the Union </w:t>
      </w:r>
      <w:r w:rsidR="002F0646">
        <w:t xml:space="preserve">today </w:t>
      </w:r>
      <w:r w:rsidR="00241D31">
        <w:t>are</w:t>
      </w:r>
      <w:r w:rsidR="002F0646">
        <w:t xml:space="preserve"> already compliant with the proposed limit value</w:t>
      </w:r>
      <w:r w:rsidR="00427E15">
        <w:t>.</w:t>
      </w:r>
      <w:r w:rsidR="00296D2B">
        <w:t xml:space="preserve"> </w:t>
      </w:r>
      <w:r w:rsidR="00037143">
        <w:t xml:space="preserve">SEAC </w:t>
      </w:r>
      <w:r w:rsidR="00427E15">
        <w:t xml:space="preserve">also </w:t>
      </w:r>
      <w:r w:rsidR="00037143">
        <w:t xml:space="preserve">concluded that benefits from the Dossier Submitter’s </w:t>
      </w:r>
      <w:r w:rsidR="00311258">
        <w:t xml:space="preserve">proposed </w:t>
      </w:r>
      <w:r w:rsidR="00037143">
        <w:t xml:space="preserve">restriction </w:t>
      </w:r>
      <w:r w:rsidR="00845369">
        <w:t xml:space="preserve">would </w:t>
      </w:r>
      <w:r w:rsidR="00710554" w:rsidRPr="0049213E">
        <w:t>result from</w:t>
      </w:r>
      <w:r w:rsidR="00710554">
        <w:t xml:space="preserve"> </w:t>
      </w:r>
      <w:r w:rsidR="00EB39F4">
        <w:t>restricting the placing on the market of articles</w:t>
      </w:r>
      <w:r w:rsidR="009D2C41">
        <w:t xml:space="preserve"> </w:t>
      </w:r>
      <w:r w:rsidR="00EF568B">
        <w:t>emitting</w:t>
      </w:r>
      <w:r w:rsidR="009D2C41">
        <w:t xml:space="preserve"> high </w:t>
      </w:r>
      <w:r w:rsidR="00EF568B">
        <w:t>concentration</w:t>
      </w:r>
      <w:r w:rsidR="009D7B58">
        <w:t xml:space="preserve">s </w:t>
      </w:r>
      <w:r w:rsidR="009D2C41">
        <w:t>of formaldehyde</w:t>
      </w:r>
      <w:r w:rsidR="00EB39F4">
        <w:t>, including imports</w:t>
      </w:r>
      <w:r w:rsidR="009D2C41">
        <w:t>.</w:t>
      </w:r>
      <w:r w:rsidR="00EB39F4">
        <w:t xml:space="preserve"> </w:t>
      </w:r>
      <w:r w:rsidR="009D2C41">
        <w:t>Th</w:t>
      </w:r>
      <w:r w:rsidR="006C02DB">
        <w:t>e restriction</w:t>
      </w:r>
      <w:r w:rsidR="009D2C41">
        <w:t xml:space="preserve"> </w:t>
      </w:r>
      <w:r w:rsidR="00845369">
        <w:t xml:space="preserve">would </w:t>
      </w:r>
      <w:r w:rsidR="009D2C41">
        <w:t>result</w:t>
      </w:r>
      <w:r w:rsidR="001920FF">
        <w:t xml:space="preserve"> in</w:t>
      </w:r>
      <w:r w:rsidR="00EB39F4">
        <w:t xml:space="preserve"> </w:t>
      </w:r>
      <w:r w:rsidR="00037143">
        <w:t xml:space="preserve">reduced adverse health effects related to irritation of the eyes, upper airways and nasopharyngeal cancer, mainly for individuals living in new dwellings. </w:t>
      </w:r>
    </w:p>
    <w:p w14:paraId="6FD50423" w14:textId="0874751E" w:rsidR="001F6EBF" w:rsidRDefault="001F6EBF" w:rsidP="005252AA">
      <w:pPr>
        <w:pStyle w:val="Considrant"/>
      </w:pPr>
      <w:r>
        <w:t xml:space="preserve">SEAC considered that the benefits deriving from limiting formaldehyde emission from consumer articles </w:t>
      </w:r>
      <w:r w:rsidR="00097874">
        <w:t xml:space="preserve">indoors </w:t>
      </w:r>
      <w:r>
        <w:t>and in the interior of vehicles</w:t>
      </w:r>
      <w:r w:rsidR="00432222">
        <w:t>,</w:t>
      </w:r>
      <w:r>
        <w:t xml:space="preserve"> as proposed</w:t>
      </w:r>
      <w:r w:rsidR="00432222">
        <w:t>,</w:t>
      </w:r>
      <w:r>
        <w:t xml:space="preserve"> </w:t>
      </w:r>
      <w:r w:rsidR="006A1609">
        <w:t xml:space="preserve">could be achieved at limited costs for society. Therefore, SEAC concluded that the </w:t>
      </w:r>
      <w:r w:rsidR="00C71DB2">
        <w:t>Dossier Submitter’s</w:t>
      </w:r>
      <w:r w:rsidR="006A1609">
        <w:t xml:space="preserve"> proposal is </w:t>
      </w:r>
      <w:r w:rsidR="00224CC8">
        <w:t xml:space="preserve">the most appropriate </w:t>
      </w:r>
      <w:r w:rsidR="00392368">
        <w:t>U</w:t>
      </w:r>
      <w:r w:rsidR="00224CC8">
        <w:t>nion</w:t>
      </w:r>
      <w:r w:rsidR="00392368">
        <w:t>-</w:t>
      </w:r>
      <w:r w:rsidR="00224CC8">
        <w:t xml:space="preserve">wide measure </w:t>
      </w:r>
      <w:r w:rsidR="006A1609">
        <w:t xml:space="preserve">to </w:t>
      </w:r>
      <w:r w:rsidR="00AA04DA">
        <w:t>address the identified</w:t>
      </w:r>
      <w:r w:rsidR="006A1609">
        <w:t xml:space="preserve"> risk</w:t>
      </w:r>
      <w:r w:rsidR="00295D90">
        <w:t xml:space="preserve"> to human health</w:t>
      </w:r>
      <w:r w:rsidR="00432222">
        <w:t>,</w:t>
      </w:r>
      <w:r w:rsidR="00AA04DA">
        <w:t xml:space="preserve"> </w:t>
      </w:r>
      <w:r w:rsidR="00AA04DA" w:rsidRPr="00830660">
        <w:rPr>
          <w:szCs w:val="24"/>
        </w:rPr>
        <w:t xml:space="preserve">in terms of its socio-economic benefits and </w:t>
      </w:r>
      <w:r w:rsidR="00224CC8">
        <w:rPr>
          <w:szCs w:val="24"/>
        </w:rPr>
        <w:t xml:space="preserve">its socio-economic </w:t>
      </w:r>
      <w:r w:rsidR="00AA04DA" w:rsidRPr="00830660">
        <w:rPr>
          <w:szCs w:val="24"/>
        </w:rPr>
        <w:t>costs</w:t>
      </w:r>
      <w:r w:rsidR="006A1609">
        <w:t xml:space="preserve">, </w:t>
      </w:r>
      <w:r w:rsidR="00FC3E0B" w:rsidRPr="00830660">
        <w:t>if</w:t>
      </w:r>
      <w:r w:rsidR="006A1609">
        <w:t xml:space="preserve"> </w:t>
      </w:r>
      <w:r w:rsidR="003D3041">
        <w:t>certain derogations</w:t>
      </w:r>
      <w:r w:rsidR="006A1609">
        <w:t xml:space="preserve"> are included and </w:t>
      </w:r>
      <w:r w:rsidR="007A19A2">
        <w:t xml:space="preserve">proposed </w:t>
      </w:r>
      <w:r>
        <w:t xml:space="preserve">testing conditions </w:t>
      </w:r>
      <w:r w:rsidR="006A1609">
        <w:t xml:space="preserve">accepted. </w:t>
      </w:r>
    </w:p>
    <w:p w14:paraId="5A0CB371" w14:textId="6F5D9CD5" w:rsidR="00126EFE" w:rsidRDefault="00CC18A5" w:rsidP="00710554">
      <w:pPr>
        <w:pStyle w:val="Considrant"/>
      </w:pPr>
      <w:r>
        <w:t>T</w:t>
      </w:r>
      <w:r w:rsidR="00241D31" w:rsidRPr="00752466">
        <w:t xml:space="preserve">o provide sufficient time </w:t>
      </w:r>
      <w:r w:rsidR="00432222">
        <w:t>for</w:t>
      </w:r>
      <w:r w:rsidR="00432222" w:rsidRPr="00752466">
        <w:t xml:space="preserve"> </w:t>
      </w:r>
      <w:r w:rsidR="00241D31" w:rsidRPr="00752466">
        <w:t>stakeholders to implement the restriction</w:t>
      </w:r>
      <w:r w:rsidR="00241D31">
        <w:t xml:space="preserve">, </w:t>
      </w:r>
      <w:r w:rsidR="00126EFE">
        <w:t xml:space="preserve">SEAC recommended </w:t>
      </w:r>
      <w:r w:rsidR="007A169F">
        <w:t xml:space="preserve">a </w:t>
      </w:r>
      <w:r w:rsidR="00126EFE" w:rsidRPr="00752466">
        <w:t xml:space="preserve">deferral of </w:t>
      </w:r>
      <w:r w:rsidR="007A169F">
        <w:t xml:space="preserve">24 </w:t>
      </w:r>
      <w:r w:rsidR="007A169F" w:rsidRPr="00752466">
        <w:t>month</w:t>
      </w:r>
      <w:r w:rsidR="007A169F">
        <w:t>s</w:t>
      </w:r>
      <w:r w:rsidR="007A169F" w:rsidRPr="00752466">
        <w:t xml:space="preserve"> for all sectors</w:t>
      </w:r>
      <w:r w:rsidR="007A169F">
        <w:t xml:space="preserve"> as regards the </w:t>
      </w:r>
      <w:r w:rsidR="00126EFE" w:rsidRPr="00752466">
        <w:t>application of the restriction. For tr</w:t>
      </w:r>
      <w:r w:rsidR="00126EFE">
        <w:t>u</w:t>
      </w:r>
      <w:r w:rsidR="00126EFE" w:rsidRPr="00752466">
        <w:t>cks and buses</w:t>
      </w:r>
      <w:r w:rsidR="00126EFE">
        <w:t>,</w:t>
      </w:r>
      <w:r w:rsidR="00241D31">
        <w:t xml:space="preserve"> however, </w:t>
      </w:r>
      <w:r w:rsidR="00126EFE" w:rsidRPr="00752466">
        <w:t xml:space="preserve">SEAC recommended 36 months due to </w:t>
      </w:r>
      <w:r w:rsidR="00296D2B">
        <w:t xml:space="preserve">the need to develop </w:t>
      </w:r>
      <w:r w:rsidR="00EB39F4">
        <w:t xml:space="preserve">standard </w:t>
      </w:r>
      <w:r w:rsidR="00296D2B">
        <w:t>analytical methods</w:t>
      </w:r>
      <w:r w:rsidR="009D7B58">
        <w:t xml:space="preserve"> for measuring </w:t>
      </w:r>
      <w:r w:rsidR="00710554" w:rsidRPr="00710554">
        <w:t>formaldehyde</w:t>
      </w:r>
      <w:r w:rsidR="00710554">
        <w:t xml:space="preserve"> concentrations in the interior</w:t>
      </w:r>
      <w:r w:rsidR="00710554" w:rsidRPr="00710554">
        <w:t xml:space="preserve"> of these vehicles</w:t>
      </w:r>
      <w:r w:rsidR="00126EFE">
        <w:t>.</w:t>
      </w:r>
    </w:p>
    <w:p w14:paraId="344CD24A" w14:textId="16BBFCF3" w:rsidR="00A76512" w:rsidRPr="00A76512" w:rsidRDefault="001F6EBF" w:rsidP="00054A65">
      <w:pPr>
        <w:pStyle w:val="Considrant"/>
      </w:pPr>
      <w:r>
        <w:t xml:space="preserve">SEAC </w:t>
      </w:r>
      <w:r w:rsidR="00330237" w:rsidRPr="00A76512">
        <w:t>conclud</w:t>
      </w:r>
      <w:r>
        <w:t xml:space="preserve">ed </w:t>
      </w:r>
      <w:r w:rsidR="006D70F2">
        <w:t xml:space="preserve">further </w:t>
      </w:r>
      <w:r w:rsidR="00330237" w:rsidRPr="00A76512">
        <w:t xml:space="preserve">that </w:t>
      </w:r>
      <w:r w:rsidR="001C7869">
        <w:t xml:space="preserve">the </w:t>
      </w:r>
      <w:r w:rsidR="004F52B5">
        <w:t xml:space="preserve">proposed </w:t>
      </w:r>
      <w:r w:rsidR="001C7869">
        <w:t>restriction</w:t>
      </w:r>
      <w:r w:rsidR="00CC18A5">
        <w:t xml:space="preserve">, as </w:t>
      </w:r>
      <w:r w:rsidR="001C7869">
        <w:t>modified</w:t>
      </w:r>
      <w:r w:rsidR="00CC18A5">
        <w:t xml:space="preserve"> by</w:t>
      </w:r>
      <w:r w:rsidR="00CC18A5" w:rsidRPr="00A76512">
        <w:t xml:space="preserve"> </w:t>
      </w:r>
      <w:r w:rsidR="00CC18A5">
        <w:t xml:space="preserve">RAC, </w:t>
      </w:r>
      <w:r w:rsidR="00B74444">
        <w:t>entail</w:t>
      </w:r>
      <w:r w:rsidR="007A169F">
        <w:t>s</w:t>
      </w:r>
      <w:r w:rsidR="00B74444">
        <w:t xml:space="preserve"> major </w:t>
      </w:r>
      <w:r w:rsidR="006C25B7">
        <w:t>socio-</w:t>
      </w:r>
      <w:r w:rsidR="00B74444">
        <w:t>economic costs</w:t>
      </w:r>
      <w:r w:rsidR="007A169F">
        <w:t>,</w:t>
      </w:r>
      <w:r w:rsidR="00B74444">
        <w:t xml:space="preserve"> </w:t>
      </w:r>
      <w:r w:rsidR="007A169F">
        <w:t xml:space="preserve">in the order of tens of billions of euros, </w:t>
      </w:r>
      <w:r w:rsidR="00B74444">
        <w:t xml:space="preserve">in terms of investment in research and development, new technologies, higher production costs, sampling and testing costs, </w:t>
      </w:r>
      <w:r w:rsidR="007A169F">
        <w:t xml:space="preserve">as well as </w:t>
      </w:r>
      <w:r w:rsidR="00B74444">
        <w:t xml:space="preserve">job losses. </w:t>
      </w:r>
      <w:r w:rsidR="00412BAD">
        <w:t xml:space="preserve">Furthermore, </w:t>
      </w:r>
      <w:r w:rsidR="00E21277">
        <w:t xml:space="preserve">it potentially has negative effects on recycling sectors and the circular economy. </w:t>
      </w:r>
      <w:r w:rsidR="00B74444">
        <w:t xml:space="preserve">SEAC recognised that </w:t>
      </w:r>
      <w:r w:rsidR="006C25B7">
        <w:t xml:space="preserve">to achieve the limit </w:t>
      </w:r>
      <w:r w:rsidR="00C752FE">
        <w:t xml:space="preserve">proposed </w:t>
      </w:r>
      <w:r w:rsidR="006C25B7">
        <w:t xml:space="preserve">by RAC, technically feasible </w:t>
      </w:r>
      <w:r w:rsidR="00B74444">
        <w:t>alternatives</w:t>
      </w:r>
      <w:r w:rsidR="006C25B7">
        <w:t xml:space="preserve"> exist</w:t>
      </w:r>
      <w:r w:rsidR="00CC18A5" w:rsidRPr="00CC18A5">
        <w:t xml:space="preserve"> </w:t>
      </w:r>
      <w:r w:rsidR="00CC18A5">
        <w:t>for certain applications;</w:t>
      </w:r>
      <w:r w:rsidR="006C25B7">
        <w:t xml:space="preserve"> however,</w:t>
      </w:r>
      <w:r w:rsidR="00B74444">
        <w:t xml:space="preserve"> they </w:t>
      </w:r>
      <w:r w:rsidR="001E29B5" w:rsidRPr="00A76512">
        <w:t>require far-reaching technological changes</w:t>
      </w:r>
      <w:r w:rsidR="00E21277">
        <w:t xml:space="preserve"> and</w:t>
      </w:r>
      <w:r w:rsidR="00A958BC">
        <w:t>,</w:t>
      </w:r>
      <w:r w:rsidR="00E21277">
        <w:t xml:space="preserve"> in </w:t>
      </w:r>
      <w:r w:rsidR="006554AF">
        <w:t>specific</w:t>
      </w:r>
      <w:r w:rsidR="00E21277">
        <w:t xml:space="preserve"> cases</w:t>
      </w:r>
      <w:r w:rsidR="00A958BC">
        <w:t>,</w:t>
      </w:r>
      <w:r w:rsidR="00E21277">
        <w:t xml:space="preserve"> the use of less sustainable alternatives</w:t>
      </w:r>
      <w:r w:rsidR="006C25B7">
        <w:t>.</w:t>
      </w:r>
    </w:p>
    <w:p w14:paraId="022C2B5E" w14:textId="65BAA8CD" w:rsidR="002679A4" w:rsidRPr="003D0657" w:rsidRDefault="003C6913" w:rsidP="005252AA">
      <w:pPr>
        <w:pStyle w:val="Considrant"/>
      </w:pPr>
      <w:r>
        <w:t>SEAC acknowledged</w:t>
      </w:r>
      <w:r w:rsidR="00BC3046" w:rsidRPr="00A76512">
        <w:t xml:space="preserve"> </w:t>
      </w:r>
      <w:r w:rsidR="001E29B5" w:rsidRPr="00A76512">
        <w:t xml:space="preserve">that </w:t>
      </w:r>
      <w:r w:rsidR="00BC3046" w:rsidRPr="00A76512">
        <w:t>RAC</w:t>
      </w:r>
      <w:r w:rsidR="006C25B7">
        <w:t>’s</w:t>
      </w:r>
      <w:r w:rsidR="00BC3046" w:rsidRPr="00A76512">
        <w:t xml:space="preserve"> proposal has potential additional benefits in terms of reduced exposure that may lead to a </w:t>
      </w:r>
      <w:r w:rsidR="00771415">
        <w:t xml:space="preserve">greater </w:t>
      </w:r>
      <w:r w:rsidR="00BC3046" w:rsidRPr="00A76512">
        <w:t>reduction in eye and upper airway irritation and nasopharyngeal cancers</w:t>
      </w:r>
      <w:r w:rsidR="00A95EF8">
        <w:t xml:space="preserve"> compared to the Dossier Submitter’s proposal</w:t>
      </w:r>
      <w:r w:rsidR="006C25B7">
        <w:t>. H</w:t>
      </w:r>
      <w:r w:rsidR="00BC3046" w:rsidRPr="00A76512">
        <w:t>owever</w:t>
      </w:r>
      <w:r w:rsidR="006C25B7">
        <w:t>,</w:t>
      </w:r>
      <w:r w:rsidR="00BC3046" w:rsidRPr="00A76512">
        <w:t xml:space="preserve"> </w:t>
      </w:r>
      <w:r w:rsidR="00C37144">
        <w:t xml:space="preserve">RAC did not quantify </w:t>
      </w:r>
      <w:r w:rsidR="00BC3046" w:rsidRPr="00A76512">
        <w:t xml:space="preserve">the </w:t>
      </w:r>
      <w:r w:rsidR="00C05E13">
        <w:t xml:space="preserve">risk </w:t>
      </w:r>
      <w:r w:rsidR="00BC3046" w:rsidRPr="00A76512">
        <w:t xml:space="preserve">reduction associated with lowering the limit </w:t>
      </w:r>
      <w:r w:rsidR="00FC3E0B" w:rsidRPr="00A76512">
        <w:t>value</w:t>
      </w:r>
      <w:r w:rsidR="00FC3E0B">
        <w:t>;</w:t>
      </w:r>
      <w:r w:rsidR="00C37144">
        <w:t xml:space="preserve"> </w:t>
      </w:r>
      <w:r w:rsidR="00FC3E0B">
        <w:t>hence,</w:t>
      </w:r>
      <w:r w:rsidR="00C37144">
        <w:t xml:space="preserve"> the</w:t>
      </w:r>
      <w:r w:rsidR="00BC3046" w:rsidRPr="00A76512">
        <w:t xml:space="preserve"> </w:t>
      </w:r>
      <w:r w:rsidR="00C37144">
        <w:t xml:space="preserve">magnitude of the additional </w:t>
      </w:r>
      <w:r w:rsidR="00C05E13" w:rsidRPr="003D0657">
        <w:t xml:space="preserve">health </w:t>
      </w:r>
      <w:r w:rsidR="00C37144" w:rsidRPr="003D0657">
        <w:t xml:space="preserve">benefits </w:t>
      </w:r>
      <w:r w:rsidR="00C05E13" w:rsidRPr="003D0657">
        <w:t>remain</w:t>
      </w:r>
      <w:r w:rsidR="000B7730" w:rsidRPr="003D0657">
        <w:t>s</w:t>
      </w:r>
      <w:r w:rsidR="00C05E13" w:rsidRPr="003D0657">
        <w:t xml:space="preserve"> </w:t>
      </w:r>
      <w:r w:rsidR="00C37144" w:rsidRPr="003D0657">
        <w:t xml:space="preserve">unknown. </w:t>
      </w:r>
      <w:r w:rsidR="00A65AFF" w:rsidRPr="003D0657">
        <w:t>Furthermore, a</w:t>
      </w:r>
      <w:r w:rsidR="00E51611" w:rsidRPr="003D0657">
        <w:t>s part of its assessment, SEAC carried out a</w:t>
      </w:r>
      <w:r w:rsidR="00C05E13" w:rsidRPr="003D0657">
        <w:t>n</w:t>
      </w:r>
      <w:r w:rsidR="00FC3E0B" w:rsidRPr="003D0657">
        <w:t xml:space="preserve"> </w:t>
      </w:r>
      <w:r w:rsidR="00E51611" w:rsidRPr="003D0657">
        <w:t xml:space="preserve">analysis </w:t>
      </w:r>
      <w:r w:rsidR="00771415">
        <w:t xml:space="preserve">by which it </w:t>
      </w:r>
      <w:r w:rsidR="008E5EB8" w:rsidRPr="003D0657">
        <w:t>calculat</w:t>
      </w:r>
      <w:r w:rsidR="00771415">
        <w:t>ed</w:t>
      </w:r>
      <w:r w:rsidR="00E51611" w:rsidRPr="003D0657">
        <w:t xml:space="preserve"> that</w:t>
      </w:r>
      <w:r w:rsidR="00A65AFF" w:rsidRPr="003D0657">
        <w:t xml:space="preserve">, given the high socio-economic </w:t>
      </w:r>
      <w:r w:rsidR="001C39DE" w:rsidRPr="003D0657">
        <w:t>costs</w:t>
      </w:r>
      <w:r w:rsidR="00A65AFF" w:rsidRPr="003D0657">
        <w:t>,</w:t>
      </w:r>
      <w:r w:rsidR="00E51611" w:rsidRPr="003D0657">
        <w:t xml:space="preserve"> the incidence of nasopharyngeal cancer among the population </w:t>
      </w:r>
      <w:r w:rsidR="00C05E13" w:rsidRPr="003D0657">
        <w:t xml:space="preserve">in the Union </w:t>
      </w:r>
      <w:r w:rsidR="00E51611" w:rsidRPr="003D0657">
        <w:t>living in new dwellings would have to be 200 times higher than the actual observed incidence</w:t>
      </w:r>
      <w:r w:rsidR="00C05E13" w:rsidRPr="003D0657">
        <w:t>,</w:t>
      </w:r>
      <w:r w:rsidR="00E51611" w:rsidRPr="003D0657">
        <w:t xml:space="preserve"> for the RAC proposal to break</w:t>
      </w:r>
      <w:r w:rsidR="00771415">
        <w:t xml:space="preserve"> </w:t>
      </w:r>
      <w:r w:rsidR="00E51611" w:rsidRPr="003D0657">
        <w:t>even. Taking into account th</w:t>
      </w:r>
      <w:r w:rsidR="00E25B24" w:rsidRPr="003D0657">
        <w:t>is</w:t>
      </w:r>
      <w:r w:rsidR="00E51611" w:rsidRPr="003D0657">
        <w:t xml:space="preserve"> break-even analysis, </w:t>
      </w:r>
      <w:r w:rsidR="0056124E" w:rsidRPr="003D0657">
        <w:t xml:space="preserve">the information received </w:t>
      </w:r>
      <w:r w:rsidR="00887E72">
        <w:t>from</w:t>
      </w:r>
      <w:r w:rsidR="0056124E" w:rsidRPr="003D0657">
        <w:t xml:space="preserve"> industry</w:t>
      </w:r>
      <w:r w:rsidR="009217D7">
        <w:t xml:space="preserve"> </w:t>
      </w:r>
      <w:r w:rsidR="004804C5">
        <w:t>during</w:t>
      </w:r>
      <w:r w:rsidR="009217D7">
        <w:t xml:space="preserve"> the consultations</w:t>
      </w:r>
      <w:r w:rsidR="0056124E" w:rsidRPr="003D0657">
        <w:t xml:space="preserve">, </w:t>
      </w:r>
      <w:r w:rsidR="000C7BE6" w:rsidRPr="003D0657">
        <w:t xml:space="preserve">and </w:t>
      </w:r>
      <w:r w:rsidR="00E51611" w:rsidRPr="003D0657">
        <w:t xml:space="preserve">the </w:t>
      </w:r>
      <w:r w:rsidR="00A76512" w:rsidRPr="003D0657">
        <w:t>absence of data</w:t>
      </w:r>
      <w:r w:rsidR="00D57790" w:rsidRPr="003D0657">
        <w:t xml:space="preserve"> or information</w:t>
      </w:r>
      <w:r w:rsidR="00A76512" w:rsidRPr="003D0657">
        <w:t xml:space="preserve"> </w:t>
      </w:r>
      <w:r w:rsidR="006D70F2" w:rsidRPr="003D0657">
        <w:t>that would allow t</w:t>
      </w:r>
      <w:r w:rsidR="00D57790" w:rsidRPr="003D0657">
        <w:t xml:space="preserve">he </w:t>
      </w:r>
      <w:r w:rsidR="006D70F2" w:rsidRPr="003D0657">
        <w:t>quantif</w:t>
      </w:r>
      <w:r w:rsidR="00D57790" w:rsidRPr="003D0657">
        <w:t>ication of</w:t>
      </w:r>
      <w:r w:rsidR="00BC3046" w:rsidRPr="003D0657">
        <w:t xml:space="preserve"> additional </w:t>
      </w:r>
      <w:r w:rsidR="00E51611" w:rsidRPr="003D0657">
        <w:t xml:space="preserve">health </w:t>
      </w:r>
      <w:r w:rsidR="00BC3046" w:rsidRPr="003D0657">
        <w:t>benefits</w:t>
      </w:r>
      <w:r w:rsidR="009D7B58" w:rsidRPr="003D0657">
        <w:t>,</w:t>
      </w:r>
      <w:r w:rsidR="00BC3046" w:rsidRPr="003D0657">
        <w:t xml:space="preserve"> </w:t>
      </w:r>
      <w:r w:rsidR="00E51611" w:rsidRPr="003D0657">
        <w:t xml:space="preserve">SEAC concluded that </w:t>
      </w:r>
      <w:r w:rsidR="00A76512" w:rsidRPr="003D0657">
        <w:t>the restr</w:t>
      </w:r>
      <w:r w:rsidR="00A95EF8" w:rsidRPr="003D0657">
        <w:t>iction based on the limit value</w:t>
      </w:r>
      <w:r w:rsidR="00A76512" w:rsidRPr="003D0657">
        <w:t xml:space="preserve"> proposed by RAC</w:t>
      </w:r>
      <w:r w:rsidR="00C05E13" w:rsidRPr="003D0657">
        <w:t xml:space="preserve"> </w:t>
      </w:r>
      <w:r w:rsidR="00EA3347" w:rsidRPr="003D0657">
        <w:t xml:space="preserve">does </w:t>
      </w:r>
      <w:r w:rsidR="00C05E13" w:rsidRPr="003D0657">
        <w:t>not</w:t>
      </w:r>
      <w:r w:rsidR="00A76512" w:rsidRPr="003D0657">
        <w:t xml:space="preserve"> </w:t>
      </w:r>
      <w:r w:rsidR="00EA3347" w:rsidRPr="003D0657">
        <w:t xml:space="preserve">appear to be </w:t>
      </w:r>
      <w:r w:rsidR="001C39DE" w:rsidRPr="003D0657">
        <w:t>an appropriate measure</w:t>
      </w:r>
      <w:r w:rsidR="00D559D0" w:rsidRPr="003D0657">
        <w:t xml:space="preserve"> to </w:t>
      </w:r>
      <w:r w:rsidR="00C5663D" w:rsidRPr="003D0657">
        <w:t>address</w:t>
      </w:r>
      <w:r w:rsidR="00D559D0" w:rsidRPr="003D0657">
        <w:t xml:space="preserve"> the identified risk</w:t>
      </w:r>
      <w:r w:rsidR="001C39DE" w:rsidRPr="003D0657">
        <w:t xml:space="preserve"> in terms of socio-economic benefits and socio</w:t>
      </w:r>
      <w:r w:rsidR="0056124E" w:rsidRPr="003D0657">
        <w:t>-</w:t>
      </w:r>
      <w:r w:rsidR="001C39DE" w:rsidRPr="003D0657">
        <w:t>economic costs.</w:t>
      </w:r>
    </w:p>
    <w:p w14:paraId="73885763" w14:textId="531477D6" w:rsidR="001A069F" w:rsidRPr="003C1476" w:rsidRDefault="00141BA2" w:rsidP="005252AA">
      <w:pPr>
        <w:pStyle w:val="Considrant"/>
      </w:pPr>
      <w:r w:rsidRPr="003D0657">
        <w:t xml:space="preserve">The </w:t>
      </w:r>
      <w:r w:rsidR="001A069F" w:rsidRPr="003D0657">
        <w:t>Forum for Exchang</w:t>
      </w:r>
      <w:r w:rsidR="00260022" w:rsidRPr="003D0657">
        <w:t>e of Information on Enforcement</w:t>
      </w:r>
      <w:r w:rsidR="001A069F" w:rsidRPr="003D0657">
        <w:t xml:space="preserve"> was consulted </w:t>
      </w:r>
      <w:r w:rsidR="000365A0" w:rsidRPr="003D0657">
        <w:t xml:space="preserve">on the Dossier Submitter’s proposal </w:t>
      </w:r>
      <w:r w:rsidR="001A069F" w:rsidRPr="003D0657">
        <w:t xml:space="preserve">and its recommendations </w:t>
      </w:r>
      <w:r w:rsidR="000365A0" w:rsidRPr="003C1476">
        <w:t xml:space="preserve">on its implementability and enforceability </w:t>
      </w:r>
      <w:r w:rsidR="001A069F" w:rsidRPr="003C1476">
        <w:t>have been taken into account</w:t>
      </w:r>
      <w:r w:rsidR="006F3353">
        <w:t>;</w:t>
      </w:r>
      <w:r w:rsidR="00C87D59" w:rsidRPr="003C1476">
        <w:t xml:space="preserve"> </w:t>
      </w:r>
      <w:r w:rsidR="006F3353">
        <w:t xml:space="preserve">the Forum </w:t>
      </w:r>
      <w:r w:rsidR="004A6927">
        <w:t xml:space="preserve">did not consider </w:t>
      </w:r>
      <w:r w:rsidR="006F3353" w:rsidRPr="006F3353">
        <w:t>the modifications recommended by RAC</w:t>
      </w:r>
      <w:r w:rsidR="009217D7">
        <w:t xml:space="preserve">, as </w:t>
      </w:r>
      <w:r w:rsidR="00E958FD">
        <w:t>they were presented</w:t>
      </w:r>
      <w:r w:rsidR="00EA13B1">
        <w:t xml:space="preserve"> </w:t>
      </w:r>
      <w:r w:rsidR="002C1D75">
        <w:t xml:space="preserve">after </w:t>
      </w:r>
      <w:r w:rsidR="00EA13B1">
        <w:t xml:space="preserve">the </w:t>
      </w:r>
      <w:r w:rsidR="002C1D75">
        <w:t xml:space="preserve">consultation of the </w:t>
      </w:r>
      <w:r w:rsidR="00EA13B1">
        <w:t>Forum</w:t>
      </w:r>
      <w:r w:rsidR="006F3353">
        <w:t>.</w:t>
      </w:r>
    </w:p>
    <w:p w14:paraId="508D718B" w14:textId="56A92D9D" w:rsidR="00614E14" w:rsidRPr="0023555F" w:rsidRDefault="00AF2141" w:rsidP="00614E14">
      <w:pPr>
        <w:pStyle w:val="Considrant"/>
      </w:pPr>
      <w:r w:rsidRPr="003C1476">
        <w:t xml:space="preserve">On </w:t>
      </w:r>
      <w:r w:rsidR="00BA2754" w:rsidRPr="003C1476">
        <w:t>23 February 2021</w:t>
      </w:r>
      <w:r w:rsidR="00C935A0" w:rsidRPr="003C1476">
        <w:t>, the Agency submitted the opinions of RAC and SEAC to the Commission</w:t>
      </w:r>
      <w:r w:rsidR="005F5A23">
        <w:rPr>
          <w:rStyle w:val="FootnoteReference"/>
        </w:rPr>
        <w:footnoteReference w:id="6"/>
      </w:r>
      <w:r w:rsidR="00C935A0" w:rsidRPr="003C1476">
        <w:t xml:space="preserve">. </w:t>
      </w:r>
      <w:r w:rsidR="005460BB" w:rsidRPr="003C1476">
        <w:t>The opinions of RAC and SEAC</w:t>
      </w:r>
      <w:r w:rsidR="00C935A0" w:rsidRPr="003C1476">
        <w:t xml:space="preserve"> </w:t>
      </w:r>
      <w:r w:rsidR="005460BB" w:rsidRPr="003C1476">
        <w:t>conclude</w:t>
      </w:r>
      <w:r w:rsidR="00FC3E0B" w:rsidRPr="003C1476">
        <w:t>d</w:t>
      </w:r>
      <w:r w:rsidR="00C935A0" w:rsidRPr="003C1476">
        <w:t xml:space="preserve"> that </w:t>
      </w:r>
      <w:r w:rsidR="00C80C1E" w:rsidRPr="003C1476">
        <w:t xml:space="preserve">there is </w:t>
      </w:r>
      <w:r w:rsidR="00C935A0" w:rsidRPr="003C1476">
        <w:t xml:space="preserve">a risk to </w:t>
      </w:r>
      <w:r w:rsidR="00614E14" w:rsidRPr="003C1476">
        <w:t>the</w:t>
      </w:r>
      <w:r w:rsidR="00C935A0" w:rsidRPr="003C1476">
        <w:t xml:space="preserve"> health</w:t>
      </w:r>
      <w:r w:rsidR="00614E14" w:rsidRPr="003C1476">
        <w:t xml:space="preserve"> of </w:t>
      </w:r>
      <w:r w:rsidR="00EA2661" w:rsidRPr="003C1476">
        <w:t xml:space="preserve">consumers </w:t>
      </w:r>
      <w:r w:rsidR="00C71DB2" w:rsidRPr="003C1476">
        <w:t xml:space="preserve">that is not adequately controlled and needs to be addressed on a Union-wide basis </w:t>
      </w:r>
      <w:r w:rsidR="00EA2661" w:rsidRPr="003C1476">
        <w:t>due to the emissions of formaldehyde from articles in</w:t>
      </w:r>
      <w:r w:rsidR="00C71DB2" w:rsidRPr="003C1476">
        <w:t>to</w:t>
      </w:r>
      <w:r w:rsidR="00EA2661" w:rsidRPr="003C1476">
        <w:t xml:space="preserve"> indoor air</w:t>
      </w:r>
      <w:r w:rsidR="007A169F" w:rsidRPr="003C1476">
        <w:t xml:space="preserve"> </w:t>
      </w:r>
      <w:r w:rsidR="007A169F" w:rsidRPr="0023555F">
        <w:t>and from road vehicles in</w:t>
      </w:r>
      <w:r w:rsidR="00C71DB2" w:rsidRPr="0023555F">
        <w:t>to</w:t>
      </w:r>
      <w:r w:rsidR="007A169F" w:rsidRPr="0023555F">
        <w:t xml:space="preserve"> their interior</w:t>
      </w:r>
      <w:r w:rsidR="00614E14" w:rsidRPr="0023555F">
        <w:t xml:space="preserve">. </w:t>
      </w:r>
    </w:p>
    <w:p w14:paraId="5D49C6B9" w14:textId="7C53E684" w:rsidR="00F833F9" w:rsidRPr="0023555F" w:rsidRDefault="00F833F9" w:rsidP="005252AA">
      <w:pPr>
        <w:pStyle w:val="Considrant"/>
      </w:pPr>
      <w:r w:rsidRPr="0023555F">
        <w:t xml:space="preserve">The Commission notes </w:t>
      </w:r>
      <w:r w:rsidR="00492BE8" w:rsidRPr="0023555F">
        <w:t>that</w:t>
      </w:r>
      <w:r w:rsidR="00F71815" w:rsidRPr="0023555F">
        <w:t>, while the</w:t>
      </w:r>
      <w:r w:rsidR="006E4CB8" w:rsidRPr="0023555F">
        <w:t xml:space="preserve"> </w:t>
      </w:r>
      <w:r w:rsidR="004F52B5">
        <w:t xml:space="preserve">proposed </w:t>
      </w:r>
      <w:r w:rsidR="00F71815" w:rsidRPr="0023555F">
        <w:t>restriction</w:t>
      </w:r>
      <w:r w:rsidR="00D162CD" w:rsidRPr="0023555F">
        <w:t xml:space="preserve"> </w:t>
      </w:r>
      <w:r w:rsidR="00F71815" w:rsidRPr="0023555F">
        <w:t xml:space="preserve">by </w:t>
      </w:r>
      <w:r w:rsidR="00943555" w:rsidRPr="0023555F">
        <w:t xml:space="preserve">the </w:t>
      </w:r>
      <w:r w:rsidR="00392368">
        <w:t>D</w:t>
      </w:r>
      <w:r w:rsidR="00943555" w:rsidRPr="0023555F">
        <w:t xml:space="preserve">ossier </w:t>
      </w:r>
      <w:r w:rsidR="00392368">
        <w:t>S</w:t>
      </w:r>
      <w:r w:rsidR="00943555" w:rsidRPr="0023555F">
        <w:t xml:space="preserve">ubmitter </w:t>
      </w:r>
      <w:r w:rsidR="00D162CD" w:rsidRPr="0023555F">
        <w:t xml:space="preserve">as well as the opinions by </w:t>
      </w:r>
      <w:r w:rsidR="00F71815" w:rsidRPr="0023555F">
        <w:t xml:space="preserve">RAC and SEAC refer to consumers, </w:t>
      </w:r>
      <w:r w:rsidR="006E4CB8" w:rsidRPr="0023555F">
        <w:t xml:space="preserve">the </w:t>
      </w:r>
      <w:r w:rsidR="00F71815" w:rsidRPr="0023555F">
        <w:t xml:space="preserve">assessment underpinning the proposal </w:t>
      </w:r>
      <w:r w:rsidR="00492BE8" w:rsidRPr="0023555F">
        <w:t>address</w:t>
      </w:r>
      <w:r w:rsidR="004D29A0" w:rsidRPr="0023555F">
        <w:t>es</w:t>
      </w:r>
      <w:r w:rsidR="00492BE8" w:rsidRPr="0023555F">
        <w:t xml:space="preserve"> the risk</w:t>
      </w:r>
      <w:r w:rsidR="004D29A0" w:rsidRPr="0023555F">
        <w:t xml:space="preserve"> to the population</w:t>
      </w:r>
      <w:r w:rsidR="006E4CB8" w:rsidRPr="0023555F">
        <w:t xml:space="preserve"> that could be exposed</w:t>
      </w:r>
      <w:r w:rsidR="004D29A0" w:rsidRPr="0023555F">
        <w:t xml:space="preserve"> to formaldehyde </w:t>
      </w:r>
      <w:r w:rsidR="006E4CB8" w:rsidRPr="0023555F">
        <w:t xml:space="preserve">in indoor air </w:t>
      </w:r>
      <w:r w:rsidR="004D29A0" w:rsidRPr="0023555F">
        <w:t>other than workers</w:t>
      </w:r>
      <w:r w:rsidR="006E4CB8" w:rsidRPr="0023555F">
        <w:t>, including persons that are not direct consumers. For the sake of legal clarity</w:t>
      </w:r>
      <w:r w:rsidR="00007F7C">
        <w:t>,</w:t>
      </w:r>
      <w:r w:rsidR="006E4CB8" w:rsidRPr="0023555F">
        <w:t xml:space="preserve"> it is therefore appropriate to refer to the general public as the population targeted by the restriction.</w:t>
      </w:r>
      <w:r w:rsidR="00E12C21" w:rsidRPr="0023555F">
        <w:t xml:space="preserve"> </w:t>
      </w:r>
    </w:p>
    <w:p w14:paraId="72599041" w14:textId="08C8F345" w:rsidR="0010228C" w:rsidRPr="00007F7C" w:rsidRDefault="0046328F" w:rsidP="00873398">
      <w:pPr>
        <w:pStyle w:val="Considrant"/>
      </w:pPr>
      <w:r w:rsidRPr="0023555F">
        <w:t>The Commission</w:t>
      </w:r>
      <w:r w:rsidR="00355143">
        <w:t xml:space="preserve">, taking into account the Annex XV dossier </w:t>
      </w:r>
      <w:r w:rsidR="0090400C">
        <w:t xml:space="preserve">as well as </w:t>
      </w:r>
      <w:r w:rsidR="001207C2">
        <w:t xml:space="preserve">the </w:t>
      </w:r>
      <w:r w:rsidR="00355143">
        <w:t>RAC and SEAC opinions,</w:t>
      </w:r>
      <w:r w:rsidRPr="0023555F">
        <w:t xml:space="preserve"> considers that </w:t>
      </w:r>
      <w:r w:rsidR="00355143">
        <w:t>there is an unacceptable risk</w:t>
      </w:r>
      <w:r w:rsidR="00793EE0">
        <w:t xml:space="preserve"> to human health</w:t>
      </w:r>
      <w:r w:rsidR="00355143">
        <w:t xml:space="preserve"> arising from formaldehyde released from articles</w:t>
      </w:r>
      <w:r w:rsidR="0090400C">
        <w:t>,</w:t>
      </w:r>
      <w:r w:rsidR="00355143">
        <w:t xml:space="preserve"> and</w:t>
      </w:r>
      <w:r w:rsidR="00793EE0">
        <w:t xml:space="preserve"> </w:t>
      </w:r>
      <w:r w:rsidR="0090400C">
        <w:t>that</w:t>
      </w:r>
      <w:r w:rsidR="00355143">
        <w:t xml:space="preserve"> </w:t>
      </w:r>
      <w:r w:rsidRPr="0023555F">
        <w:t xml:space="preserve">a restriction establishing an emission limit for articles </w:t>
      </w:r>
      <w:r w:rsidRPr="00007F7C">
        <w:t>emitting formaldehyde to decrease exposure</w:t>
      </w:r>
      <w:r w:rsidR="006E4CB8" w:rsidRPr="00007F7C">
        <w:t xml:space="preserve"> of the general public</w:t>
      </w:r>
      <w:r w:rsidRPr="00007F7C">
        <w:t xml:space="preserve"> to formaldehyde via inhalation is the most appropriate Union-wide measure to address the risk</w:t>
      </w:r>
      <w:r w:rsidR="000B0EFD" w:rsidRPr="00007F7C">
        <w:t>.</w:t>
      </w:r>
    </w:p>
    <w:p w14:paraId="710000C7" w14:textId="1ED636FC" w:rsidR="002302D6" w:rsidRPr="00FD6383" w:rsidRDefault="001D35EB" w:rsidP="005252AA">
      <w:pPr>
        <w:pStyle w:val="Considrant"/>
        <w:rPr>
          <w:i/>
        </w:rPr>
      </w:pPr>
      <w:bookmarkStart w:id="1" w:name="_Hlk83914509"/>
      <w:r w:rsidRPr="001D35EB">
        <w:t>The Commission agrees with the Dossier Submitter that the proposed limit value of 0,124 mg/m</w:t>
      </w:r>
      <w:r w:rsidRPr="001D35EB">
        <w:rPr>
          <w:vertAlign w:val="superscript"/>
        </w:rPr>
        <w:t>3</w:t>
      </w:r>
      <w:r w:rsidRPr="001D35EB">
        <w:t xml:space="preserve"> prevents articles </w:t>
      </w:r>
      <w:r w:rsidR="0090400C">
        <w:t xml:space="preserve">that </w:t>
      </w:r>
      <w:r w:rsidRPr="001D35EB">
        <w:t xml:space="preserve">emit high amounts of formaldehyde from being placed on the market in the Union and that it is appropriate to limit exposure to formaldehyde in indoor environments. However, the Commission considers that the risk reduction realised by achieving the WHO Guideline value is modest because of existing voluntary and national emission limits and the fact that the majority of articles placed on the market today are </w:t>
      </w:r>
      <w:r w:rsidR="0090400C" w:rsidRPr="001D35EB">
        <w:t xml:space="preserve">already </w:t>
      </w:r>
      <w:r w:rsidRPr="001D35EB">
        <w:t>expected to be compliant with the limit value of 0,124 mg/m</w:t>
      </w:r>
      <w:r w:rsidRPr="001D35EB">
        <w:rPr>
          <w:vertAlign w:val="superscript"/>
        </w:rPr>
        <w:t>3</w:t>
      </w:r>
      <w:r w:rsidRPr="001D35EB">
        <w:t xml:space="preserve">. Achieving the WHO guideline value would also be insufficient to address the risk identified, taking into account RAC’s opinion. Likewise, </w:t>
      </w:r>
      <w:r w:rsidR="0090400C" w:rsidRPr="00333605">
        <w:t xml:space="preserve">current </w:t>
      </w:r>
      <w:r w:rsidRPr="00333605">
        <w:t>interior</w:t>
      </w:r>
      <w:r w:rsidRPr="001D35EB">
        <w:t xml:space="preserve"> concentrations in </w:t>
      </w:r>
      <w:r>
        <w:t>road vehicles</w:t>
      </w:r>
      <w:r w:rsidRPr="001D35EB">
        <w:t xml:space="preserve"> mostly comply with the proposed limit va</w:t>
      </w:r>
      <w:r>
        <w:t>lue of 0,</w:t>
      </w:r>
      <w:r w:rsidRPr="001D35EB">
        <w:t>1 mg/m</w:t>
      </w:r>
      <w:r w:rsidRPr="001D35EB">
        <w:rPr>
          <w:vertAlign w:val="superscript"/>
        </w:rPr>
        <w:t>3</w:t>
      </w:r>
      <w:r w:rsidRPr="001D35EB">
        <w:t>.</w:t>
      </w:r>
      <w:r w:rsidRPr="00007F7C" w:rsidDel="001D35EB">
        <w:t xml:space="preserve"> </w:t>
      </w:r>
    </w:p>
    <w:bookmarkEnd w:id="1"/>
    <w:p w14:paraId="092899F2" w14:textId="2236F579" w:rsidR="001954A8" w:rsidRPr="00FD6383" w:rsidRDefault="00182039" w:rsidP="005252AA">
      <w:pPr>
        <w:pStyle w:val="Considrant"/>
      </w:pPr>
      <w:r w:rsidRPr="00FD6383">
        <w:t>The</w:t>
      </w:r>
      <w:r w:rsidR="00030CF8" w:rsidRPr="00FD6383">
        <w:t xml:space="preserve"> Commission </w:t>
      </w:r>
      <w:r w:rsidRPr="00FD6383">
        <w:t xml:space="preserve">also </w:t>
      </w:r>
      <w:r w:rsidR="00E25D29" w:rsidRPr="00FD6383">
        <w:t>acknowledges</w:t>
      </w:r>
      <w:r w:rsidRPr="00FD6383">
        <w:t>,</w:t>
      </w:r>
      <w:r w:rsidR="00030CF8" w:rsidRPr="00FD6383">
        <w:t xml:space="preserve"> </w:t>
      </w:r>
      <w:r w:rsidR="00620BC6" w:rsidRPr="00FD6383">
        <w:t xml:space="preserve">based on </w:t>
      </w:r>
      <w:r w:rsidR="00030CF8" w:rsidRPr="00FD6383">
        <w:t>SEAC</w:t>
      </w:r>
      <w:r w:rsidRPr="00FD6383">
        <w:t>’s conclusion</w:t>
      </w:r>
      <w:r w:rsidR="00E0435D" w:rsidRPr="00FD6383">
        <w:t>s</w:t>
      </w:r>
      <w:r w:rsidR="00494CF4" w:rsidRPr="00FD6383">
        <w:t xml:space="preserve"> </w:t>
      </w:r>
      <w:r w:rsidR="00E0435D" w:rsidRPr="00FD6383">
        <w:t>on the socio</w:t>
      </w:r>
      <w:r w:rsidR="00494CF4" w:rsidRPr="00FD6383">
        <w:t>-</w:t>
      </w:r>
      <w:r w:rsidR="00E0435D" w:rsidRPr="00FD6383">
        <w:t>economic assessment</w:t>
      </w:r>
      <w:r w:rsidR="0090400C">
        <w:t>,</w:t>
      </w:r>
      <w:r w:rsidR="00E0435D" w:rsidRPr="00FD6383">
        <w:t xml:space="preserve"> </w:t>
      </w:r>
      <w:r w:rsidRPr="00FD6383">
        <w:t xml:space="preserve">that the </w:t>
      </w:r>
      <w:r w:rsidR="0090400C">
        <w:t xml:space="preserve">limit value of </w:t>
      </w:r>
      <w:r w:rsidRPr="00FD6383">
        <w:t>0</w:t>
      </w:r>
      <w:r w:rsidR="007302A1" w:rsidRPr="00FD6383">
        <w:t>,</w:t>
      </w:r>
      <w:r w:rsidRPr="00FD6383">
        <w:t>05 mg/m</w:t>
      </w:r>
      <w:r w:rsidRPr="00FD6383">
        <w:rPr>
          <w:vertAlign w:val="superscript"/>
        </w:rPr>
        <w:t>3</w:t>
      </w:r>
      <w:r w:rsidRPr="00FD6383">
        <w:t xml:space="preserve"> </w:t>
      </w:r>
      <w:r w:rsidR="007302A1" w:rsidRPr="00FD6383">
        <w:t>, as proposed by RAC,</w:t>
      </w:r>
      <w:r w:rsidRPr="00FD6383">
        <w:t xml:space="preserve"> </w:t>
      </w:r>
      <w:r w:rsidR="000B17DA" w:rsidRPr="00FD6383">
        <w:t xml:space="preserve">would </w:t>
      </w:r>
      <w:r w:rsidRPr="00FD6383">
        <w:t>entail</w:t>
      </w:r>
      <w:r w:rsidR="002B0AC1" w:rsidRPr="00FD6383">
        <w:t xml:space="preserve"> major socio-economic impacts </w:t>
      </w:r>
      <w:r w:rsidRPr="00FD6383">
        <w:t xml:space="preserve">for the </w:t>
      </w:r>
      <w:r w:rsidR="007302A1" w:rsidRPr="00FD6383">
        <w:t>Union</w:t>
      </w:r>
      <w:r w:rsidR="0090400C">
        <w:t>;</w:t>
      </w:r>
      <w:r w:rsidR="00C75210" w:rsidRPr="00FD6383">
        <w:t xml:space="preserve"> and </w:t>
      </w:r>
      <w:r w:rsidR="00E25D29" w:rsidRPr="00FD6383">
        <w:t>that such</w:t>
      </w:r>
      <w:r w:rsidR="003463FC" w:rsidRPr="00FD6383">
        <w:t xml:space="preserve"> a</w:t>
      </w:r>
      <w:r w:rsidR="00E25D29" w:rsidRPr="00FD6383">
        <w:t xml:space="preserve"> limit value </w:t>
      </w:r>
      <w:r w:rsidR="00C75210" w:rsidRPr="00FD6383">
        <w:t>requires</w:t>
      </w:r>
      <w:r w:rsidR="009F40C8">
        <w:t>, in specific cases,</w:t>
      </w:r>
      <w:r w:rsidR="00C75210" w:rsidRPr="00FD6383">
        <w:t xml:space="preserve"> shifting to less sustainable alternatives with </w:t>
      </w:r>
      <w:r w:rsidR="00513611" w:rsidRPr="00FD6383">
        <w:t>negative</w:t>
      </w:r>
      <w:r w:rsidR="00C75210" w:rsidRPr="00FD6383">
        <w:t xml:space="preserve"> effects on </w:t>
      </w:r>
      <w:r w:rsidR="00FD6383" w:rsidRPr="00FD6383">
        <w:t xml:space="preserve">the </w:t>
      </w:r>
      <w:r w:rsidR="00C75210" w:rsidRPr="00FD6383">
        <w:t>circular economy and recycling</w:t>
      </w:r>
      <w:r w:rsidR="007302A1" w:rsidRPr="00FD6383">
        <w:t xml:space="preserve">, in particular </w:t>
      </w:r>
      <w:r w:rsidRPr="00FD6383">
        <w:t xml:space="preserve">in view of </w:t>
      </w:r>
      <w:r w:rsidR="00204F58" w:rsidRPr="00FD6383">
        <w:t>the absence of a</w:t>
      </w:r>
      <w:r w:rsidR="00D57790" w:rsidRPr="00FD6383">
        <w:t>n assessment</w:t>
      </w:r>
      <w:r w:rsidR="00204F58" w:rsidRPr="00FD6383">
        <w:t xml:space="preserve"> of the </w:t>
      </w:r>
      <w:r w:rsidRPr="00FD6383">
        <w:t xml:space="preserve">additional </w:t>
      </w:r>
      <w:r w:rsidR="00204F58" w:rsidRPr="00FD6383">
        <w:t xml:space="preserve">health benefits of such </w:t>
      </w:r>
      <w:r w:rsidR="00C71DB2" w:rsidRPr="00FD6383">
        <w:t xml:space="preserve">a </w:t>
      </w:r>
      <w:r w:rsidR="00204F58" w:rsidRPr="00FD6383">
        <w:t>limit</w:t>
      </w:r>
      <w:r w:rsidR="00322DC4" w:rsidRPr="00FD6383">
        <w:t xml:space="preserve"> compared to the limit proposed by the Dossier Submitter</w:t>
      </w:r>
      <w:r w:rsidRPr="00FD6383">
        <w:t xml:space="preserve">. </w:t>
      </w:r>
    </w:p>
    <w:p w14:paraId="75A68F29" w14:textId="1EFA1BF9" w:rsidR="00030CF8" w:rsidRPr="005B38E0" w:rsidRDefault="00182039" w:rsidP="005252AA">
      <w:pPr>
        <w:pStyle w:val="Considrant"/>
      </w:pPr>
      <w:r w:rsidRPr="00FD6383">
        <w:t xml:space="preserve">The Commission therefore </w:t>
      </w:r>
      <w:r w:rsidR="00DD25C3">
        <w:t>examined</w:t>
      </w:r>
      <w:r w:rsidRPr="00FD6383">
        <w:t xml:space="preserve"> </w:t>
      </w:r>
      <w:r w:rsidR="006B6A37">
        <w:t xml:space="preserve">the appropriateness of </w:t>
      </w:r>
      <w:r w:rsidR="007302A1" w:rsidRPr="00FD6383">
        <w:t xml:space="preserve">the </w:t>
      </w:r>
      <w:r w:rsidR="00030CF8" w:rsidRPr="00FD6383">
        <w:t xml:space="preserve">intermediate limit values </w:t>
      </w:r>
      <w:r w:rsidR="00477E6A">
        <w:t xml:space="preserve">of </w:t>
      </w:r>
      <w:r w:rsidR="00030CF8" w:rsidRPr="00FD6383">
        <w:t>0</w:t>
      </w:r>
      <w:r w:rsidR="007302A1" w:rsidRPr="00FD6383">
        <w:t>,</w:t>
      </w:r>
      <w:r w:rsidR="00030CF8" w:rsidRPr="00FD6383">
        <w:t>08 mg/m</w:t>
      </w:r>
      <w:r w:rsidR="00030CF8" w:rsidRPr="00FD6383">
        <w:rPr>
          <w:vertAlign w:val="superscript"/>
        </w:rPr>
        <w:t>3</w:t>
      </w:r>
      <w:r w:rsidR="00030CF8" w:rsidRPr="00FD6383">
        <w:t xml:space="preserve"> and 0</w:t>
      </w:r>
      <w:r w:rsidR="007302A1" w:rsidRPr="00FD6383">
        <w:t>,</w:t>
      </w:r>
      <w:r w:rsidR="00030CF8" w:rsidRPr="00FD6383">
        <w:t>062 mg/m</w:t>
      </w:r>
      <w:r w:rsidR="00030CF8" w:rsidRPr="00FD6383">
        <w:rPr>
          <w:vertAlign w:val="superscript"/>
        </w:rPr>
        <w:t xml:space="preserve">3 </w:t>
      </w:r>
      <w:r w:rsidR="001E6BE0" w:rsidRPr="00FD6383">
        <w:t xml:space="preserve">that </w:t>
      </w:r>
      <w:r w:rsidR="006A629F" w:rsidRPr="00FD6383">
        <w:t xml:space="preserve">had been </w:t>
      </w:r>
      <w:r w:rsidR="001E6BE0" w:rsidRPr="00FD6383">
        <w:t>partly assessed by SEAC b</w:t>
      </w:r>
      <w:r w:rsidR="00DA694C" w:rsidRPr="00FD6383">
        <w:t>ased on</w:t>
      </w:r>
      <w:r w:rsidR="00030CF8" w:rsidRPr="00FD6383">
        <w:t xml:space="preserve"> input received from </w:t>
      </w:r>
      <w:r w:rsidR="00DA694C" w:rsidRPr="00FD6383">
        <w:t xml:space="preserve">stakeholders in </w:t>
      </w:r>
      <w:r w:rsidR="00030CF8" w:rsidRPr="00FD6383">
        <w:t>the c</w:t>
      </w:r>
      <w:r w:rsidR="001E6BE0" w:rsidRPr="00FD6383">
        <w:t>onsultations</w:t>
      </w:r>
      <w:r w:rsidR="00F26171" w:rsidRPr="00FD6383">
        <w:t>. The Commission</w:t>
      </w:r>
      <w:r w:rsidR="001E6BE0" w:rsidRPr="00FD6383">
        <w:t xml:space="preserve"> concluded that</w:t>
      </w:r>
      <w:r w:rsidR="00030CF8" w:rsidRPr="00FD6383">
        <w:t xml:space="preserve"> the adoption of </w:t>
      </w:r>
      <w:r w:rsidR="006A629F" w:rsidRPr="00FD6383">
        <w:t xml:space="preserve">such </w:t>
      </w:r>
      <w:r w:rsidR="00030CF8" w:rsidRPr="00FD6383">
        <w:t>intermediate value</w:t>
      </w:r>
      <w:r w:rsidR="00EA3347" w:rsidRPr="00FD6383">
        <w:t>s</w:t>
      </w:r>
      <w:r w:rsidR="00030CF8" w:rsidRPr="00FD6383">
        <w:t xml:space="preserve"> </w:t>
      </w:r>
      <w:r w:rsidR="0090400C">
        <w:t xml:space="preserve">would </w:t>
      </w:r>
      <w:r w:rsidR="00030CF8" w:rsidRPr="00FD6383">
        <w:t xml:space="preserve">entail </w:t>
      </w:r>
      <w:r w:rsidR="0090400C">
        <w:t xml:space="preserve">a </w:t>
      </w:r>
      <w:r w:rsidR="00030CF8" w:rsidRPr="00FD6383">
        <w:t xml:space="preserve">higher </w:t>
      </w:r>
      <w:r w:rsidR="00131F35" w:rsidRPr="00FD6383">
        <w:t>protection of human health, in particular that of vulnerable populations</w:t>
      </w:r>
      <w:r w:rsidR="00CB3C84" w:rsidRPr="00FD6383">
        <w:t>,</w:t>
      </w:r>
      <w:r w:rsidR="00131F35" w:rsidRPr="00FD6383">
        <w:t xml:space="preserve"> </w:t>
      </w:r>
      <w:r w:rsidR="00F26171" w:rsidRPr="00FD6383">
        <w:t>compared to the limit proposed by the Dossier S</w:t>
      </w:r>
      <w:r w:rsidR="00030CF8" w:rsidRPr="00FD6383">
        <w:t>ubmitter</w:t>
      </w:r>
      <w:r w:rsidR="00DA694C" w:rsidRPr="00FD6383">
        <w:t>,</w:t>
      </w:r>
      <w:r w:rsidR="00030CF8" w:rsidRPr="00FD6383">
        <w:t xml:space="preserve"> </w:t>
      </w:r>
      <w:r w:rsidR="00030CF8" w:rsidRPr="005B38E0">
        <w:t xml:space="preserve">while </w:t>
      </w:r>
      <w:r w:rsidR="0090400C">
        <w:t>entailing</w:t>
      </w:r>
      <w:r w:rsidR="0090400C" w:rsidRPr="005B38E0">
        <w:t xml:space="preserve"> </w:t>
      </w:r>
      <w:r w:rsidR="007302A1" w:rsidRPr="005B38E0">
        <w:t xml:space="preserve">a </w:t>
      </w:r>
      <w:r w:rsidR="00030CF8" w:rsidRPr="005B38E0">
        <w:t>l</w:t>
      </w:r>
      <w:r w:rsidR="008A619D" w:rsidRPr="005B38E0">
        <w:t>ower</w:t>
      </w:r>
      <w:r w:rsidR="00030CF8" w:rsidRPr="005B38E0">
        <w:t xml:space="preserve"> </w:t>
      </w:r>
      <w:r w:rsidR="00F26171" w:rsidRPr="005B38E0">
        <w:t xml:space="preserve">socio-economic burden and </w:t>
      </w:r>
      <w:r w:rsidR="008A619D" w:rsidRPr="005B38E0">
        <w:t xml:space="preserve">fewer </w:t>
      </w:r>
      <w:r w:rsidR="00030CF8" w:rsidRPr="005B38E0">
        <w:t>techn</w:t>
      </w:r>
      <w:r w:rsidR="00B50CC2" w:rsidRPr="005B38E0">
        <w:t>olog</w:t>
      </w:r>
      <w:r w:rsidR="00030CF8" w:rsidRPr="005B38E0">
        <w:t xml:space="preserve">ical challenges than the </w:t>
      </w:r>
      <w:r w:rsidR="00F26171" w:rsidRPr="005B38E0">
        <w:t>limit proposed by RAC</w:t>
      </w:r>
      <w:r w:rsidR="00462892" w:rsidRPr="005B38E0">
        <w:t xml:space="preserve">, particularly if </w:t>
      </w:r>
      <w:r w:rsidR="0090400C">
        <w:t xml:space="preserve">taken </w:t>
      </w:r>
      <w:r w:rsidR="007302A1" w:rsidRPr="005B38E0">
        <w:t>in combination with</w:t>
      </w:r>
      <w:r w:rsidR="00462892" w:rsidRPr="005B38E0">
        <w:t xml:space="preserve"> adequate transition</w:t>
      </w:r>
      <w:r w:rsidR="007302A1" w:rsidRPr="005B38E0">
        <w:t>al</w:t>
      </w:r>
      <w:r w:rsidR="00462892" w:rsidRPr="005B38E0">
        <w:t xml:space="preserve"> period</w:t>
      </w:r>
      <w:r w:rsidR="007302A1" w:rsidRPr="005B38E0">
        <w:t>s</w:t>
      </w:r>
      <w:r w:rsidR="00462892" w:rsidRPr="005B38E0">
        <w:t xml:space="preserve"> and specific derogations</w:t>
      </w:r>
      <w:r w:rsidR="00F26171" w:rsidRPr="005B38E0">
        <w:t>.</w:t>
      </w:r>
    </w:p>
    <w:p w14:paraId="11CF0538" w14:textId="28D63014" w:rsidR="00203F99" w:rsidRPr="005B38E0" w:rsidRDefault="00203F99" w:rsidP="000E4786">
      <w:pPr>
        <w:pStyle w:val="Considrant"/>
      </w:pPr>
      <w:r w:rsidRPr="005B38E0">
        <w:t xml:space="preserve">The Commission recognises the exponential increase in costs when lowering the limit value, and that the estimated combined costs for industry would be </w:t>
      </w:r>
      <w:r w:rsidR="00925D5D">
        <w:t xml:space="preserve">at minimum </w:t>
      </w:r>
      <w:r w:rsidRPr="005B38E0">
        <w:t xml:space="preserve">in the range of hundreds of millions </w:t>
      </w:r>
      <w:r w:rsidR="00CC216F" w:rsidRPr="005B38E0">
        <w:t xml:space="preserve">of </w:t>
      </w:r>
      <w:r w:rsidRPr="005B38E0">
        <w:t xml:space="preserve">euros for the </w:t>
      </w:r>
      <w:r w:rsidR="001A187A">
        <w:t xml:space="preserve">limit value of </w:t>
      </w:r>
      <w:r w:rsidRPr="005B38E0">
        <w:t>0,08 mg/m</w:t>
      </w:r>
      <w:r w:rsidRPr="005B38E0">
        <w:rPr>
          <w:vertAlign w:val="superscript"/>
        </w:rPr>
        <w:t>3</w:t>
      </w:r>
      <w:r w:rsidRPr="005B38E0">
        <w:t xml:space="preserve"> </w:t>
      </w:r>
      <w:r w:rsidR="00CC216F" w:rsidRPr="005B38E0">
        <w:t>,</w:t>
      </w:r>
      <w:r w:rsidRPr="005B38E0">
        <w:t xml:space="preserve"> compared with billions of euros for </w:t>
      </w:r>
      <w:r w:rsidR="001A187A">
        <w:t xml:space="preserve">the limit value of </w:t>
      </w:r>
      <w:r w:rsidRPr="005B38E0">
        <w:t>0,062 mg/m</w:t>
      </w:r>
      <w:r w:rsidRPr="005B38E0">
        <w:rPr>
          <w:vertAlign w:val="superscript"/>
        </w:rPr>
        <w:t>3</w:t>
      </w:r>
      <w:r w:rsidRPr="005B38E0">
        <w:t xml:space="preserve">. The Commission </w:t>
      </w:r>
      <w:r w:rsidR="001A187A">
        <w:t xml:space="preserve">has </w:t>
      </w:r>
      <w:r w:rsidRPr="005B38E0">
        <w:t xml:space="preserve">further </w:t>
      </w:r>
      <w:r w:rsidR="00CC216F" w:rsidRPr="005B38E0">
        <w:t>analyse</w:t>
      </w:r>
      <w:r w:rsidR="001A187A">
        <w:t>d</w:t>
      </w:r>
      <w:r w:rsidR="00CC216F" w:rsidRPr="005B38E0">
        <w:t xml:space="preserve"> </w:t>
      </w:r>
      <w:r w:rsidRPr="005B38E0">
        <w:t xml:space="preserve">the break-even analysis by SEAC, which </w:t>
      </w:r>
      <w:r w:rsidR="008575AB" w:rsidRPr="005B38E0">
        <w:t>calculates</w:t>
      </w:r>
      <w:r w:rsidRPr="005B38E0">
        <w:t xml:space="preserve"> that, for the </w:t>
      </w:r>
      <w:r w:rsidR="001A187A">
        <w:t xml:space="preserve">limit value of </w:t>
      </w:r>
      <w:r w:rsidRPr="005B38E0">
        <w:t>0,062 mg/m</w:t>
      </w:r>
      <w:r w:rsidRPr="005B38E0">
        <w:rPr>
          <w:vertAlign w:val="superscript"/>
        </w:rPr>
        <w:t xml:space="preserve">3 </w:t>
      </w:r>
      <w:r w:rsidRPr="005B38E0">
        <w:t>to break</w:t>
      </w:r>
      <w:r w:rsidR="009F40C8">
        <w:t xml:space="preserve"> </w:t>
      </w:r>
      <w:r w:rsidRPr="005B38E0">
        <w:t xml:space="preserve">even, the incidence of nasopharyngeal cancer among the population in the Union living in new dwellings would have to be 70 times higher than the actual observed incidence, and 30 times higher for </w:t>
      </w:r>
      <w:r w:rsidR="001A187A">
        <w:t xml:space="preserve">the limit value of </w:t>
      </w:r>
      <w:r w:rsidRPr="005B38E0">
        <w:t>0,08 mg/m</w:t>
      </w:r>
      <w:r w:rsidRPr="005B38E0">
        <w:rPr>
          <w:vertAlign w:val="superscript"/>
        </w:rPr>
        <w:t>3</w:t>
      </w:r>
      <w:r w:rsidRPr="005B38E0">
        <w:t>. However, the Commission also considers that formaldehyde is a carcinogenic substance</w:t>
      </w:r>
      <w:r w:rsidR="00CC216F" w:rsidRPr="005B38E0">
        <w:t>,</w:t>
      </w:r>
      <w:r w:rsidRPr="005B38E0">
        <w:t xml:space="preserve"> </w:t>
      </w:r>
      <w:r w:rsidR="00CC216F" w:rsidRPr="005B38E0">
        <w:t xml:space="preserve">for which </w:t>
      </w:r>
      <w:r w:rsidRPr="005B38E0">
        <w:t xml:space="preserve">the limit </w:t>
      </w:r>
      <w:r w:rsidR="001A187A">
        <w:t xml:space="preserve">value </w:t>
      </w:r>
      <w:r w:rsidRPr="005B38E0">
        <w:t>of 0</w:t>
      </w:r>
      <w:r w:rsidR="000B17DA" w:rsidRPr="005B38E0">
        <w:t>,</w:t>
      </w:r>
      <w:r w:rsidRPr="005B38E0">
        <w:t>062 mg/m</w:t>
      </w:r>
      <w:r w:rsidRPr="005B38E0">
        <w:rPr>
          <w:vertAlign w:val="superscript"/>
        </w:rPr>
        <w:t>3</w:t>
      </w:r>
      <w:r w:rsidRPr="005B38E0">
        <w:t xml:space="preserve"> would provide higher health benefits to the population in the Union. The Commission, although recognising that the differences in costs between the two values are significant, </w:t>
      </w:r>
      <w:r w:rsidR="00CC216F" w:rsidRPr="005B38E0">
        <w:t xml:space="preserve">considers, in view of the potential additional health benefits, in particular to vulnerable groups such as children, </w:t>
      </w:r>
      <w:r w:rsidR="000E4786" w:rsidRPr="005B38E0">
        <w:t xml:space="preserve">that </w:t>
      </w:r>
      <w:r w:rsidRPr="005B38E0">
        <w:t xml:space="preserve">the higher costs for the lower limit value are justified </w:t>
      </w:r>
      <w:r w:rsidR="00215952" w:rsidRPr="005B38E0">
        <w:t>for articles contributing the most to indoor air quality</w:t>
      </w:r>
      <w:r w:rsidRPr="005B38E0">
        <w:t xml:space="preserve">. </w:t>
      </w:r>
    </w:p>
    <w:p w14:paraId="4E07E96B" w14:textId="761F03B2" w:rsidR="00DB227A" w:rsidRPr="00977471" w:rsidRDefault="009A1004" w:rsidP="00DB227A">
      <w:pPr>
        <w:pStyle w:val="Considrant"/>
      </w:pPr>
      <w:r w:rsidRPr="00977471">
        <w:t xml:space="preserve">In its consideration, </w:t>
      </w:r>
      <w:r w:rsidR="00E64FB9" w:rsidRPr="00977471">
        <w:t>t</w:t>
      </w:r>
      <w:r w:rsidR="00DB227A" w:rsidRPr="00977471">
        <w:t xml:space="preserve">he Commission takes into account that wood-based panels and articles made of wood-based panels or other wood-based </w:t>
      </w:r>
      <w:r w:rsidR="00E84A2E" w:rsidRPr="00977471">
        <w:t>articles</w:t>
      </w:r>
      <w:r w:rsidR="00DB227A" w:rsidRPr="00977471">
        <w:t xml:space="preserve">, as well as furniture </w:t>
      </w:r>
      <w:r w:rsidR="001D35EB">
        <w:t xml:space="preserve">that </w:t>
      </w:r>
      <w:r w:rsidR="001D35EB" w:rsidRPr="00977471">
        <w:t>contain</w:t>
      </w:r>
      <w:r w:rsidR="001D35EB">
        <w:t>s</w:t>
      </w:r>
      <w:r w:rsidR="001D35EB" w:rsidRPr="00977471">
        <w:t xml:space="preserve"> </w:t>
      </w:r>
      <w:r w:rsidR="00DB227A" w:rsidRPr="00977471">
        <w:t>wood</w:t>
      </w:r>
      <w:r w:rsidR="00925D5D">
        <w:t xml:space="preserve"> </w:t>
      </w:r>
      <w:r w:rsidR="001D35EB">
        <w:t>or</w:t>
      </w:r>
      <w:r w:rsidR="00DB227A" w:rsidRPr="00977471">
        <w:t xml:space="preserve"> other materials</w:t>
      </w:r>
      <w:r w:rsidR="00B32720">
        <w:t>,</w:t>
      </w:r>
      <w:r w:rsidR="00DB227A" w:rsidRPr="00977471">
        <w:t xml:space="preserve"> to which formaldehyde </w:t>
      </w:r>
      <w:r w:rsidR="00672C9B">
        <w:t>has</w:t>
      </w:r>
      <w:r w:rsidR="00DB227A" w:rsidRPr="00977471">
        <w:t xml:space="preserve"> been intentionally</w:t>
      </w:r>
      <w:r w:rsidR="00897F9B">
        <w:t xml:space="preserve"> </w:t>
      </w:r>
      <w:r w:rsidR="00DB227A" w:rsidRPr="00977471">
        <w:t xml:space="preserve">added during </w:t>
      </w:r>
      <w:r w:rsidR="000E4786" w:rsidRPr="00977471">
        <w:t xml:space="preserve">their </w:t>
      </w:r>
      <w:r w:rsidR="00DB227A" w:rsidRPr="00977471">
        <w:t xml:space="preserve">production, are the main emission sources of formaldehyde in indoor air, in particular in newly built homes. Therefore, the Commission considers that a lower emission limit for </w:t>
      </w:r>
      <w:r w:rsidR="003403EF">
        <w:t xml:space="preserve">such </w:t>
      </w:r>
      <w:r w:rsidR="00DB227A" w:rsidRPr="00977471">
        <w:t>articles</w:t>
      </w:r>
      <w:r w:rsidR="007A2E0C" w:rsidRPr="00977471">
        <w:t xml:space="preserve"> and</w:t>
      </w:r>
      <w:r w:rsidR="00672C9B">
        <w:t xml:space="preserve"> such </w:t>
      </w:r>
      <w:r w:rsidR="00E958FD">
        <w:t>products composed</w:t>
      </w:r>
      <w:r w:rsidR="009E62A2">
        <w:t xml:space="preserve"> of more than one article </w:t>
      </w:r>
      <w:r w:rsidR="00672C9B">
        <w:t>(‘</w:t>
      </w:r>
      <w:r w:rsidR="007A2E0C" w:rsidRPr="00977471">
        <w:t>complex products</w:t>
      </w:r>
      <w:r w:rsidR="00672C9B">
        <w:t>'</w:t>
      </w:r>
      <w:r w:rsidR="00F86519">
        <w:t>)</w:t>
      </w:r>
      <w:r w:rsidR="00DB227A" w:rsidRPr="00977471">
        <w:t xml:space="preserve"> that are the biggest sources of formaldehyde in indoor air is appropriate and provides for increased protection</w:t>
      </w:r>
      <w:r w:rsidR="00D85C20" w:rsidRPr="00977471">
        <w:t xml:space="preserve"> </w:t>
      </w:r>
      <w:r w:rsidR="00977471" w:rsidRPr="00977471">
        <w:t>of</w:t>
      </w:r>
      <w:r w:rsidR="00D85C20" w:rsidRPr="00977471">
        <w:t xml:space="preserve"> the general public</w:t>
      </w:r>
      <w:r w:rsidR="00DB227A" w:rsidRPr="00977471">
        <w:t>, while limiting the socio-economic costs for those sectors that do not contribute to the same extent to the emissions.</w:t>
      </w:r>
    </w:p>
    <w:p w14:paraId="209290EE" w14:textId="00FF5E0A" w:rsidR="008875E0" w:rsidRPr="0008273D" w:rsidRDefault="008875E0" w:rsidP="00DB227A">
      <w:pPr>
        <w:pStyle w:val="Considrant"/>
      </w:pPr>
      <w:r w:rsidRPr="0008273D">
        <w:t xml:space="preserve">Likewise, it is appropriate to </w:t>
      </w:r>
      <w:r w:rsidR="00C50D92" w:rsidRPr="0008273D">
        <w:t xml:space="preserve">establish a lower limit for the presence of formaldehyde in </w:t>
      </w:r>
      <w:r w:rsidRPr="0008273D">
        <w:t xml:space="preserve">the interior of road vehicles where </w:t>
      </w:r>
      <w:r w:rsidR="0056124E" w:rsidRPr="0008273D">
        <w:t xml:space="preserve">the </w:t>
      </w:r>
      <w:r w:rsidRPr="0008273D">
        <w:t>general public</w:t>
      </w:r>
      <w:r w:rsidR="0056124E" w:rsidRPr="0008273D">
        <w:t xml:space="preserve"> is</w:t>
      </w:r>
      <w:r w:rsidR="00C50D92" w:rsidRPr="0008273D">
        <w:t xml:space="preserve"> present to ensure adequate protection in </w:t>
      </w:r>
      <w:r w:rsidR="00C50D92" w:rsidRPr="003B2677">
        <w:t xml:space="preserve">particular </w:t>
      </w:r>
      <w:r w:rsidR="00A015F9" w:rsidRPr="003B2677">
        <w:t>of</w:t>
      </w:r>
      <w:r w:rsidR="00C50D92" w:rsidRPr="003B2677">
        <w:t xml:space="preserve"> vulnerable</w:t>
      </w:r>
      <w:r w:rsidR="00C50D92" w:rsidRPr="0008273D">
        <w:t xml:space="preserve"> population</w:t>
      </w:r>
      <w:r w:rsidR="009F40C8">
        <w:t>s</w:t>
      </w:r>
      <w:r w:rsidR="00C50D92" w:rsidRPr="0008273D">
        <w:t xml:space="preserve"> also in the worst</w:t>
      </w:r>
      <w:r w:rsidR="0008273D" w:rsidRPr="0008273D">
        <w:t>-</w:t>
      </w:r>
      <w:r w:rsidR="00C50D92" w:rsidRPr="0008273D">
        <w:t>case scenarios.</w:t>
      </w:r>
    </w:p>
    <w:p w14:paraId="31CEB2E2" w14:textId="704F6DAA" w:rsidR="00D31A88" w:rsidRPr="009501FB" w:rsidRDefault="00832681" w:rsidP="00A64D02">
      <w:pPr>
        <w:pStyle w:val="Considrant"/>
      </w:pPr>
      <w:r w:rsidRPr="009501FB">
        <w:t>The</w:t>
      </w:r>
      <w:r w:rsidR="00D31A88" w:rsidRPr="009501FB">
        <w:t xml:space="preserve"> Commission </w:t>
      </w:r>
      <w:r w:rsidRPr="009501FB">
        <w:t xml:space="preserve">therefore </w:t>
      </w:r>
      <w:r w:rsidR="00D31A88" w:rsidRPr="009501FB">
        <w:t xml:space="preserve">concludes </w:t>
      </w:r>
      <w:r w:rsidR="00D31A88" w:rsidRPr="00887E72">
        <w:t xml:space="preserve">that </w:t>
      </w:r>
      <w:r w:rsidR="001A0A74" w:rsidRPr="00887E72">
        <w:t xml:space="preserve">the most appropriate Union-wide measure to address the risk of formaldehyde in indoor air and in the interior of road vehicles is </w:t>
      </w:r>
      <w:r w:rsidR="00D31A88" w:rsidRPr="00374B01">
        <w:t xml:space="preserve">a </w:t>
      </w:r>
      <w:r w:rsidR="00887E72" w:rsidRPr="00897F9B">
        <w:t xml:space="preserve">restriction setting the </w:t>
      </w:r>
      <w:r w:rsidR="00D31A88" w:rsidRPr="00887E72">
        <w:t xml:space="preserve">limit value of </w:t>
      </w:r>
      <w:r w:rsidR="005D4C3D" w:rsidRPr="00887E72">
        <w:t>0</w:t>
      </w:r>
      <w:r w:rsidR="009A1004" w:rsidRPr="00887E72">
        <w:t>,</w:t>
      </w:r>
      <w:r w:rsidR="005D4C3D" w:rsidRPr="00374B01">
        <w:t>062</w:t>
      </w:r>
      <w:r w:rsidR="00D31A88" w:rsidRPr="00374B01">
        <w:t xml:space="preserve"> mg/m</w:t>
      </w:r>
      <w:r w:rsidR="00D31A88" w:rsidRPr="00374B01">
        <w:rPr>
          <w:vertAlign w:val="superscript"/>
        </w:rPr>
        <w:t>3</w:t>
      </w:r>
      <w:r w:rsidR="00D31A88" w:rsidRPr="00374B01">
        <w:t xml:space="preserve"> </w:t>
      </w:r>
      <w:r w:rsidR="00A64D02" w:rsidRPr="00374B01">
        <w:t>for wood</w:t>
      </w:r>
      <w:r w:rsidR="001A0A74" w:rsidRPr="00374B01">
        <w:t>-</w:t>
      </w:r>
      <w:r w:rsidR="00A64D02" w:rsidRPr="00374B01">
        <w:t xml:space="preserve">based </w:t>
      </w:r>
      <w:r w:rsidR="00E84A2E" w:rsidRPr="00374B01">
        <w:t xml:space="preserve">articles </w:t>
      </w:r>
      <w:r w:rsidR="00333C10" w:rsidRPr="00374B01">
        <w:t xml:space="preserve">and </w:t>
      </w:r>
      <w:r w:rsidR="00A64D02" w:rsidRPr="00374B01">
        <w:t>furniture</w:t>
      </w:r>
      <w:r w:rsidR="00A015F9" w:rsidRPr="00374B01">
        <w:t>,</w:t>
      </w:r>
      <w:r w:rsidR="008E5EB8" w:rsidRPr="00374B01">
        <w:t xml:space="preserve"> </w:t>
      </w:r>
      <w:r w:rsidR="007A2E0C" w:rsidRPr="00374B01">
        <w:t>applied to the whole complex product</w:t>
      </w:r>
      <w:r w:rsidR="00A015F9" w:rsidRPr="00374B01">
        <w:t>,</w:t>
      </w:r>
      <w:r w:rsidR="007A2E0C" w:rsidRPr="009501FB">
        <w:t xml:space="preserve"> </w:t>
      </w:r>
      <w:r w:rsidR="008E5EB8" w:rsidRPr="009501FB">
        <w:t>as well as in the interior of road vehicles</w:t>
      </w:r>
      <w:r w:rsidR="001A0A74" w:rsidRPr="009501FB">
        <w:t>;</w:t>
      </w:r>
      <w:r w:rsidR="00A64D02" w:rsidRPr="009501FB">
        <w:t xml:space="preserve"> and </w:t>
      </w:r>
      <w:r w:rsidR="000E4786" w:rsidRPr="009501FB">
        <w:t xml:space="preserve">of </w:t>
      </w:r>
      <w:r w:rsidR="001A187A">
        <w:t xml:space="preserve">the limit value of </w:t>
      </w:r>
      <w:r w:rsidR="00A64D02" w:rsidRPr="009501FB">
        <w:t>0</w:t>
      </w:r>
      <w:r w:rsidR="009A1004" w:rsidRPr="009501FB">
        <w:t>,</w:t>
      </w:r>
      <w:r w:rsidR="00A64D02" w:rsidRPr="009501FB">
        <w:t>08 mg/m</w:t>
      </w:r>
      <w:r w:rsidR="00A64D02" w:rsidRPr="009501FB">
        <w:rPr>
          <w:vertAlign w:val="superscript"/>
        </w:rPr>
        <w:t>3</w:t>
      </w:r>
      <w:r w:rsidR="00A64D02" w:rsidRPr="009501FB">
        <w:t xml:space="preserve"> for all other </w:t>
      </w:r>
      <w:r w:rsidR="00D14ED9" w:rsidRPr="009501FB">
        <w:t>articles</w:t>
      </w:r>
      <w:r w:rsidR="008E5EB8" w:rsidRPr="009501FB">
        <w:t>.</w:t>
      </w:r>
    </w:p>
    <w:p w14:paraId="61B15952" w14:textId="66E600E7" w:rsidR="00203F99" w:rsidRPr="00704613" w:rsidRDefault="00203F99" w:rsidP="00AD32F2">
      <w:pPr>
        <w:pStyle w:val="Considrant"/>
      </w:pPr>
      <w:r w:rsidRPr="00704613">
        <w:t xml:space="preserve">In order to mitigate the </w:t>
      </w:r>
      <w:r w:rsidR="001D35EB">
        <w:t xml:space="preserve">negative </w:t>
      </w:r>
      <w:r w:rsidRPr="00704613">
        <w:t xml:space="preserve">impacts and </w:t>
      </w:r>
      <w:r w:rsidR="00344831">
        <w:t xml:space="preserve">to </w:t>
      </w:r>
      <w:r w:rsidRPr="00704613">
        <w:t xml:space="preserve">lower the costs for the affected sectors, as well as to provide sufficient time </w:t>
      </w:r>
      <w:r w:rsidR="000E4786" w:rsidRPr="00704613">
        <w:t>for</w:t>
      </w:r>
      <w:r w:rsidRPr="00704613">
        <w:t xml:space="preserve"> stakeholders to implement the restriction, the Commission considers </w:t>
      </w:r>
      <w:r w:rsidR="00344831">
        <w:t xml:space="preserve">appropriate </w:t>
      </w:r>
      <w:r w:rsidRPr="00704613">
        <w:t xml:space="preserve">a deferral of </w:t>
      </w:r>
      <w:r w:rsidR="001A0A74" w:rsidRPr="00704613">
        <w:t>36</w:t>
      </w:r>
      <w:r w:rsidRPr="00704613">
        <w:t xml:space="preserve"> months for all sectors as regards the application of the restriction. </w:t>
      </w:r>
      <w:r w:rsidR="001A0A74" w:rsidRPr="00704613">
        <w:t>For</w:t>
      </w:r>
      <w:r w:rsidR="008E5EB8" w:rsidRPr="00704613">
        <w:t xml:space="preserve"> road vehicles</w:t>
      </w:r>
      <w:r w:rsidR="001A0A74" w:rsidRPr="00704613">
        <w:t xml:space="preserve">, however, a deferral of 48 months is deemed appropriate due to the </w:t>
      </w:r>
      <w:r w:rsidR="00AD32F2" w:rsidRPr="00704613">
        <w:t xml:space="preserve">long development and marketing time for vehicles, the high material requirements in the automotive industry, the complex supply chains including original equipment manufacturers, as well as </w:t>
      </w:r>
      <w:r w:rsidR="001A0A74" w:rsidRPr="00704613">
        <w:t xml:space="preserve">the </w:t>
      </w:r>
      <w:r w:rsidR="004D70C7" w:rsidRPr="00704613">
        <w:t xml:space="preserve">time </w:t>
      </w:r>
      <w:r w:rsidR="001A0A74" w:rsidRPr="00704613">
        <w:t>need</w:t>
      </w:r>
      <w:r w:rsidR="004D70C7" w:rsidRPr="00704613">
        <w:t>ed</w:t>
      </w:r>
      <w:r w:rsidR="001A0A74" w:rsidRPr="00704613">
        <w:t xml:space="preserve"> to </w:t>
      </w:r>
      <w:r w:rsidR="004D70C7" w:rsidRPr="00704613">
        <w:t xml:space="preserve">implement the </w:t>
      </w:r>
      <w:r w:rsidR="001A0A74" w:rsidRPr="00704613">
        <w:t>standard analytical method for measuring emissions</w:t>
      </w:r>
      <w:r w:rsidR="0049025A" w:rsidRPr="00704613">
        <w:t xml:space="preserve"> </w:t>
      </w:r>
      <w:r w:rsidR="0049025A" w:rsidRPr="00E958FD">
        <w:t>for trucks and buses</w:t>
      </w:r>
      <w:r w:rsidR="004D70C7" w:rsidRPr="00E958FD">
        <w:rPr>
          <w:rStyle w:val="FootnoteReference"/>
        </w:rPr>
        <w:footnoteReference w:id="7"/>
      </w:r>
      <w:r w:rsidR="001A0A74" w:rsidRPr="00E958FD">
        <w:t>.</w:t>
      </w:r>
    </w:p>
    <w:p w14:paraId="6BBC9B18" w14:textId="46BFA1CC" w:rsidR="00EE3BEB" w:rsidRPr="00704613" w:rsidRDefault="00EE3BEB" w:rsidP="00D31A88">
      <w:pPr>
        <w:pStyle w:val="Considrant"/>
      </w:pPr>
      <w:r w:rsidRPr="00704613">
        <w:t xml:space="preserve">Articles that are exclusively used in outdoor environments under reasonably foreseeable conditions </w:t>
      </w:r>
      <w:r w:rsidR="00054B6B">
        <w:t>should</w:t>
      </w:r>
      <w:r w:rsidRPr="00704613">
        <w:t xml:space="preserve"> not</w:t>
      </w:r>
      <w:r w:rsidR="00054B6B">
        <w:t xml:space="preserve"> be</w:t>
      </w:r>
      <w:r w:rsidRPr="00704613">
        <w:t xml:space="preserve"> included in the scope of </w:t>
      </w:r>
      <w:r w:rsidR="00DB1B13" w:rsidRPr="00704613">
        <w:t>the restriction,</w:t>
      </w:r>
      <w:r w:rsidRPr="00704613">
        <w:t xml:space="preserve"> as they do not contribute to exposure to formaldehyde in indoor air</w:t>
      </w:r>
      <w:r w:rsidR="002E5B41" w:rsidRPr="00704613">
        <w:t>.</w:t>
      </w:r>
      <w:r w:rsidRPr="00704613">
        <w:t xml:space="preserve"> </w:t>
      </w:r>
    </w:p>
    <w:p w14:paraId="3D96CEAC" w14:textId="226DD768" w:rsidR="00421AD7" w:rsidRPr="008D3730" w:rsidRDefault="00EE3BEB" w:rsidP="00D31A88">
      <w:pPr>
        <w:pStyle w:val="Considrant"/>
      </w:pPr>
      <w:r w:rsidRPr="008D3730">
        <w:t xml:space="preserve">Articles </w:t>
      </w:r>
      <w:r w:rsidR="00AE14AD">
        <w:t xml:space="preserve">that are </w:t>
      </w:r>
      <w:r w:rsidR="00421AD7" w:rsidRPr="008D3730">
        <w:t xml:space="preserve">exclusively </w:t>
      </w:r>
      <w:r w:rsidR="00B57B2A" w:rsidRPr="008D3730">
        <w:t xml:space="preserve">for </w:t>
      </w:r>
      <w:r w:rsidR="00421AD7" w:rsidRPr="008D3730">
        <w:t xml:space="preserve">industrial </w:t>
      </w:r>
      <w:r w:rsidR="00374B01">
        <w:t>or</w:t>
      </w:r>
      <w:r w:rsidR="00421AD7" w:rsidRPr="008D3730">
        <w:t xml:space="preserve"> professional </w:t>
      </w:r>
      <w:r w:rsidR="00B57B2A" w:rsidRPr="008D3730">
        <w:t xml:space="preserve">use </w:t>
      </w:r>
      <w:r w:rsidR="0012648E">
        <w:t>should</w:t>
      </w:r>
      <w:r w:rsidRPr="008D3730">
        <w:t xml:space="preserve"> not</w:t>
      </w:r>
      <w:r w:rsidR="0012648E">
        <w:t xml:space="preserve"> be</w:t>
      </w:r>
      <w:r w:rsidRPr="008D3730">
        <w:t xml:space="preserve"> included in the scope</w:t>
      </w:r>
      <w:r w:rsidR="0012648E">
        <w:t xml:space="preserve"> of the restriction</w:t>
      </w:r>
      <w:r w:rsidR="00B57B2A" w:rsidRPr="008D3730">
        <w:t>,</w:t>
      </w:r>
      <w:r w:rsidRPr="008D3730">
        <w:t xml:space="preserve"> as</w:t>
      </w:r>
      <w:r w:rsidR="00F43602" w:rsidRPr="008D3730">
        <w:t xml:space="preserve"> long as</w:t>
      </w:r>
      <w:r w:rsidRPr="008D3730">
        <w:t xml:space="preserve"> these use</w:t>
      </w:r>
      <w:r w:rsidR="002E5B41" w:rsidRPr="008D3730">
        <w:t>s</w:t>
      </w:r>
      <w:r w:rsidRPr="008D3730">
        <w:t xml:space="preserve"> </w:t>
      </w:r>
      <w:r w:rsidR="002F1606">
        <w:t>do</w:t>
      </w:r>
      <w:r w:rsidRPr="008D3730">
        <w:t xml:space="preserve"> </w:t>
      </w:r>
      <w:r w:rsidR="008A619D" w:rsidRPr="008D3730">
        <w:t xml:space="preserve">not </w:t>
      </w:r>
      <w:r w:rsidR="001D35EB">
        <w:t>lead to</w:t>
      </w:r>
      <w:r w:rsidR="001D35EB" w:rsidRPr="008D3730">
        <w:t xml:space="preserve"> </w:t>
      </w:r>
      <w:r w:rsidR="008A619D" w:rsidRPr="008D3730">
        <w:t>exposure</w:t>
      </w:r>
      <w:r w:rsidR="00B068E2" w:rsidRPr="008D3730">
        <w:t xml:space="preserve"> of the general public</w:t>
      </w:r>
      <w:r w:rsidR="00B57B2A" w:rsidRPr="008D3730">
        <w:t>.</w:t>
      </w:r>
      <w:r w:rsidRPr="008D3730">
        <w:t xml:space="preserve"> </w:t>
      </w:r>
      <w:r w:rsidR="00B57B2A" w:rsidRPr="008D3730">
        <w:t>F</w:t>
      </w:r>
      <w:r w:rsidRPr="008D3730">
        <w:t>urthermore</w:t>
      </w:r>
      <w:r w:rsidR="00B57B2A" w:rsidRPr="008D3730">
        <w:t>,</w:t>
      </w:r>
      <w:r w:rsidR="00421AD7" w:rsidRPr="008D3730">
        <w:t xml:space="preserve"> exposure of industrial and professional workers to formaldehyde is already regulated by </w:t>
      </w:r>
      <w:r w:rsidR="00DB37A1" w:rsidRPr="008D3730">
        <w:t xml:space="preserve">Council </w:t>
      </w:r>
      <w:r w:rsidR="00421AD7" w:rsidRPr="008D3730">
        <w:t>Directive 98/24/EC</w:t>
      </w:r>
      <w:r w:rsidR="00B57B2A" w:rsidRPr="008D3730">
        <w:rPr>
          <w:rStyle w:val="FootnoteReference"/>
          <w:rFonts w:eastAsia="Calibri"/>
          <w:szCs w:val="24"/>
        </w:rPr>
        <w:footnoteReference w:id="8"/>
      </w:r>
      <w:r w:rsidR="00B57B2A" w:rsidRPr="008D3730">
        <w:t xml:space="preserve">, </w:t>
      </w:r>
      <w:r w:rsidR="00421AD7" w:rsidRPr="008D3730">
        <w:t xml:space="preserve">and Directive 2004/37/EC </w:t>
      </w:r>
      <w:r w:rsidR="00B57B2A" w:rsidRPr="008D3730">
        <w:t>of the European Parliament and of the Council</w:t>
      </w:r>
      <w:r w:rsidR="00B57B2A" w:rsidRPr="008D3730">
        <w:rPr>
          <w:rStyle w:val="FootnoteReference"/>
          <w:rFonts w:eastAsia="Calibri"/>
          <w:szCs w:val="24"/>
        </w:rPr>
        <w:footnoteReference w:id="9"/>
      </w:r>
      <w:r w:rsidR="00421AD7" w:rsidRPr="008D3730">
        <w:t>.</w:t>
      </w:r>
    </w:p>
    <w:p w14:paraId="5C2034F1" w14:textId="56D18BDC" w:rsidR="00F701E2" w:rsidRPr="002E74F5" w:rsidRDefault="00B6181C" w:rsidP="00F701E2">
      <w:pPr>
        <w:pStyle w:val="Considrant"/>
      </w:pPr>
      <w:r>
        <w:t>F</w:t>
      </w:r>
      <w:r w:rsidRPr="008D3730">
        <w:t>ormaldehyde emissions from articles are expected to decrease over time due to ‘off-gassing’ of residual formaldehyde.</w:t>
      </w:r>
      <w:r>
        <w:t xml:space="preserve"> Therefore, s</w:t>
      </w:r>
      <w:r w:rsidR="008A619D" w:rsidRPr="008D3730">
        <w:t>econd</w:t>
      </w:r>
      <w:r w:rsidR="008D3730" w:rsidRPr="008D3730">
        <w:t>-</w:t>
      </w:r>
      <w:r w:rsidR="008A619D" w:rsidRPr="008D3730">
        <w:t xml:space="preserve">hand articles </w:t>
      </w:r>
      <w:r w:rsidR="002F1606">
        <w:t>should</w:t>
      </w:r>
      <w:r w:rsidR="002E5B41" w:rsidRPr="008D3730">
        <w:t xml:space="preserve"> not</w:t>
      </w:r>
      <w:r w:rsidR="002F1606">
        <w:t xml:space="preserve"> be</w:t>
      </w:r>
      <w:r w:rsidR="002E5B41" w:rsidRPr="008D3730">
        <w:t xml:space="preserve"> included in the scope</w:t>
      </w:r>
      <w:r w:rsidR="002F1606">
        <w:t xml:space="preserve"> of the restriction</w:t>
      </w:r>
      <w:r>
        <w:t>.</w:t>
      </w:r>
      <w:r w:rsidR="00421AD7" w:rsidRPr="008D3730">
        <w:t xml:space="preserve"> </w:t>
      </w:r>
      <w:r w:rsidR="00B57B2A" w:rsidRPr="008D3730">
        <w:t xml:space="preserve">Moreover, </w:t>
      </w:r>
      <w:r w:rsidR="00380916">
        <w:t>t</w:t>
      </w:r>
      <w:r w:rsidR="00B57B2A" w:rsidRPr="008D3730">
        <w:t xml:space="preserve">he </w:t>
      </w:r>
      <w:r w:rsidR="00421AD7" w:rsidRPr="008D3730">
        <w:t xml:space="preserve">Forum for Exchange of Information on </w:t>
      </w:r>
      <w:r w:rsidR="00E958FD" w:rsidRPr="002E74F5">
        <w:t>Enforcement also</w:t>
      </w:r>
      <w:r w:rsidR="00421AD7" w:rsidRPr="002E74F5">
        <w:t xml:space="preserve"> </w:t>
      </w:r>
      <w:r w:rsidR="00B57B2A" w:rsidRPr="002E74F5">
        <w:t xml:space="preserve">recommended </w:t>
      </w:r>
      <w:r w:rsidR="00421AD7" w:rsidRPr="002E74F5">
        <w:t>a dero</w:t>
      </w:r>
      <w:r w:rsidR="005B5415" w:rsidRPr="002E74F5">
        <w:t>gation for second-hand articles</w:t>
      </w:r>
      <w:r w:rsidR="00E34355">
        <w:t>,</w:t>
      </w:r>
      <w:r w:rsidR="00380916">
        <w:t xml:space="preserve"> as </w:t>
      </w:r>
      <w:r w:rsidR="007D35F2">
        <w:t>enforcing the restriction with regard to second-hand articles</w:t>
      </w:r>
      <w:r w:rsidR="002C1D75" w:rsidRPr="00E958FD">
        <w:t xml:space="preserve"> </w:t>
      </w:r>
      <w:r w:rsidR="00380916" w:rsidRPr="00E958FD">
        <w:t>may</w:t>
      </w:r>
      <w:r w:rsidR="00E34355">
        <w:t xml:space="preserve"> </w:t>
      </w:r>
      <w:r w:rsidR="00380916">
        <w:t>be difficult</w:t>
      </w:r>
      <w:r w:rsidR="00421AD7" w:rsidRPr="002E74F5">
        <w:t>.</w:t>
      </w:r>
    </w:p>
    <w:p w14:paraId="36BE3794" w14:textId="345E43FC" w:rsidR="00F701E2" w:rsidRPr="002E74F5" w:rsidRDefault="007F5D5B" w:rsidP="00F701E2">
      <w:pPr>
        <w:pStyle w:val="Considrant"/>
      </w:pPr>
      <w:r>
        <w:t xml:space="preserve">The following </w:t>
      </w:r>
      <w:r w:rsidR="00757514">
        <w:t xml:space="preserve">products </w:t>
      </w:r>
      <w:r>
        <w:t>are</w:t>
      </w:r>
      <w:r w:rsidR="00421AD7" w:rsidRPr="002E74F5">
        <w:t xml:space="preserve"> </w:t>
      </w:r>
      <w:r>
        <w:t xml:space="preserve">already subject to Union rules </w:t>
      </w:r>
      <w:r w:rsidR="00E34355">
        <w:t xml:space="preserve">on </w:t>
      </w:r>
      <w:r w:rsidR="00881E2B">
        <w:t xml:space="preserve">limit values to </w:t>
      </w:r>
      <w:r w:rsidR="00E34355">
        <w:t xml:space="preserve">formaldehyde </w:t>
      </w:r>
      <w:r>
        <w:t>and</w:t>
      </w:r>
      <w:r w:rsidR="00CB42C6" w:rsidRPr="002E74F5">
        <w:t xml:space="preserve"> </w:t>
      </w:r>
      <w:r w:rsidR="00D1609E">
        <w:t>should</w:t>
      </w:r>
      <w:r>
        <w:t xml:space="preserve"> therefore</w:t>
      </w:r>
      <w:r w:rsidR="00CB42C6" w:rsidRPr="002E74F5">
        <w:t xml:space="preserve"> not </w:t>
      </w:r>
      <w:r w:rsidR="00D1609E">
        <w:t xml:space="preserve">be </w:t>
      </w:r>
      <w:r w:rsidR="00CB42C6" w:rsidRPr="002E74F5">
        <w:t>included in the scope of th</w:t>
      </w:r>
      <w:r w:rsidR="004B3859">
        <w:t>e</w:t>
      </w:r>
      <w:r w:rsidR="00CB42C6" w:rsidRPr="002E74F5">
        <w:t xml:space="preserve"> restriction</w:t>
      </w:r>
      <w:r w:rsidR="00A00FBA" w:rsidRPr="002E74F5">
        <w:t>:</w:t>
      </w:r>
      <w:r w:rsidR="00CB42C6" w:rsidRPr="002E74F5">
        <w:t xml:space="preserve"> </w:t>
      </w:r>
      <w:r w:rsidR="00421AD7" w:rsidRPr="002E74F5">
        <w:t xml:space="preserve">articles within the scope of </w:t>
      </w:r>
      <w:r w:rsidR="00460FBC" w:rsidRPr="002E74F5">
        <w:t>entry 72 of Annex XVII to Regulation (EC) No 1907/2006</w:t>
      </w:r>
      <w:r w:rsidR="00421AD7" w:rsidRPr="002E74F5">
        <w:t xml:space="preserve">, </w:t>
      </w:r>
      <w:r w:rsidR="00481A0C" w:rsidRPr="002E74F5">
        <w:t xml:space="preserve">articles that are </w:t>
      </w:r>
      <w:r w:rsidR="00CB42C6" w:rsidRPr="002E74F5">
        <w:t xml:space="preserve">biocidal products within the scope of </w:t>
      </w:r>
      <w:r w:rsidR="00421AD7" w:rsidRPr="002E74F5">
        <w:t>Regulation (EU) 528/2012 of the European Parliament and of the Council</w:t>
      </w:r>
      <w:r w:rsidR="00421AD7" w:rsidRPr="002E74F5">
        <w:rPr>
          <w:rStyle w:val="FootnoteReference"/>
          <w:rFonts w:eastAsia="Calibri"/>
          <w:szCs w:val="24"/>
        </w:rPr>
        <w:footnoteReference w:id="10"/>
      </w:r>
      <w:r w:rsidR="00CB42C6" w:rsidRPr="002E74F5">
        <w:t>,</w:t>
      </w:r>
      <w:r w:rsidR="00421AD7" w:rsidRPr="002E74F5">
        <w:t xml:space="preserve"> devices within the scope of Regulation (EU) 2017/745 of the European Parliament and of the Council</w:t>
      </w:r>
      <w:r w:rsidR="00421AD7" w:rsidRPr="002E74F5">
        <w:rPr>
          <w:rStyle w:val="FootnoteReference"/>
          <w:rFonts w:eastAsia="Calibri"/>
          <w:szCs w:val="24"/>
        </w:rPr>
        <w:footnoteReference w:id="11"/>
      </w:r>
      <w:r w:rsidR="00CB42C6" w:rsidRPr="002E74F5">
        <w:t>,</w:t>
      </w:r>
      <w:r w:rsidR="008A619D" w:rsidRPr="002E74F5">
        <w:t xml:space="preserve"> </w:t>
      </w:r>
      <w:r w:rsidR="00775A59" w:rsidRPr="004D2D7E">
        <w:t>and</w:t>
      </w:r>
      <w:r w:rsidR="00775A59">
        <w:t xml:space="preserve"> </w:t>
      </w:r>
      <w:r w:rsidR="00421AD7" w:rsidRPr="002E74F5">
        <w:t>personal protective equipment within the scope of Regulation (EU) 2016/425 of the European Parliament and of the Council</w:t>
      </w:r>
      <w:r w:rsidR="00421AD7" w:rsidRPr="002E74F5">
        <w:rPr>
          <w:rStyle w:val="FootnoteReference"/>
          <w:rFonts w:eastAsia="Calibri"/>
          <w:szCs w:val="24"/>
        </w:rPr>
        <w:footnoteReference w:id="12"/>
      </w:r>
      <w:r w:rsidR="00C8681A" w:rsidRPr="002E74F5">
        <w:t>.</w:t>
      </w:r>
    </w:p>
    <w:p w14:paraId="3AA0097E" w14:textId="219340FD" w:rsidR="00F701E2" w:rsidRPr="002E74F5" w:rsidRDefault="00A67DE9" w:rsidP="00A67DE9">
      <w:pPr>
        <w:pStyle w:val="Considrant"/>
      </w:pPr>
      <w:r w:rsidRPr="00A67DE9">
        <w:t xml:space="preserve">Commission </w:t>
      </w:r>
      <w:r w:rsidR="00C8681A" w:rsidRPr="002E74F5">
        <w:t>Regulation (EU) No 10/2011</w:t>
      </w:r>
      <w:r w:rsidR="00C8681A" w:rsidRPr="002E74F5">
        <w:rPr>
          <w:rStyle w:val="FootnoteReference"/>
        </w:rPr>
        <w:footnoteReference w:id="13"/>
      </w:r>
      <w:r w:rsidR="00C8681A" w:rsidRPr="002E74F5">
        <w:t xml:space="preserve"> establishes a</w:t>
      </w:r>
      <w:r w:rsidR="009834FB" w:rsidRPr="002E74F5">
        <w:t xml:space="preserve"> limit </w:t>
      </w:r>
      <w:r w:rsidR="004A0450">
        <w:t xml:space="preserve">value </w:t>
      </w:r>
      <w:r w:rsidR="009834FB" w:rsidRPr="002E74F5">
        <w:t>for formaldehyde for plastic materials and articles intended to come into contact with food</w:t>
      </w:r>
      <w:r w:rsidR="00C8681A" w:rsidRPr="002E74F5">
        <w:t>.</w:t>
      </w:r>
      <w:r w:rsidR="009834FB" w:rsidRPr="002E74F5">
        <w:t xml:space="preserve"> </w:t>
      </w:r>
      <w:r w:rsidR="00881E2B">
        <w:t xml:space="preserve">Although </w:t>
      </w:r>
      <w:r w:rsidR="00147EDF">
        <w:t xml:space="preserve">Union law does not set a </w:t>
      </w:r>
      <w:r w:rsidR="009834FB" w:rsidRPr="002E74F5">
        <w:t xml:space="preserve">specific </w:t>
      </w:r>
      <w:r w:rsidR="00147EDF">
        <w:t xml:space="preserve">formaldehyde </w:t>
      </w:r>
      <w:r w:rsidR="009834FB" w:rsidRPr="002E74F5">
        <w:t>limit</w:t>
      </w:r>
      <w:r>
        <w:t xml:space="preserve"> </w:t>
      </w:r>
      <w:r w:rsidR="007A2E0C" w:rsidRPr="002E74F5">
        <w:t>for other materials</w:t>
      </w:r>
      <w:r w:rsidR="00EA13B1">
        <w:t xml:space="preserve"> </w:t>
      </w:r>
      <w:r w:rsidR="004A0450">
        <w:t xml:space="preserve">and articles </w:t>
      </w:r>
      <w:r w:rsidR="00EA13B1">
        <w:t>in contact with food</w:t>
      </w:r>
      <w:r w:rsidR="009834FB" w:rsidRPr="002E74F5">
        <w:t xml:space="preserve">, producers must be able to demonstrate </w:t>
      </w:r>
      <w:r>
        <w:t xml:space="preserve">their </w:t>
      </w:r>
      <w:r w:rsidR="009834FB" w:rsidRPr="002E74F5">
        <w:t xml:space="preserve">safety to </w:t>
      </w:r>
      <w:r w:rsidR="00512300" w:rsidRPr="002E74F5">
        <w:t xml:space="preserve">the </w:t>
      </w:r>
      <w:r w:rsidR="009834FB" w:rsidRPr="002E74F5">
        <w:t xml:space="preserve">competent authorities. </w:t>
      </w:r>
      <w:r w:rsidR="00147EDF">
        <w:t>T</w:t>
      </w:r>
      <w:r w:rsidR="00C8681A" w:rsidRPr="002E74F5">
        <w:t>he requirements</w:t>
      </w:r>
      <w:r w:rsidR="00512300" w:rsidRPr="002E74F5">
        <w:t xml:space="preserve"> of food contact </w:t>
      </w:r>
      <w:r w:rsidR="00512300" w:rsidRPr="007D35F2">
        <w:t>materials</w:t>
      </w:r>
      <w:r w:rsidR="00C8681A" w:rsidRPr="007D35F2">
        <w:t xml:space="preserve"> </w:t>
      </w:r>
      <w:r w:rsidR="001C66AA" w:rsidRPr="007D35F2">
        <w:t xml:space="preserve">aim to protect human health </w:t>
      </w:r>
      <w:r w:rsidR="00147EDF" w:rsidRPr="007D35F2">
        <w:t xml:space="preserve">by addressing </w:t>
      </w:r>
      <w:r w:rsidR="001C66AA" w:rsidRPr="007D35F2">
        <w:t>the potential migration of substances into food</w:t>
      </w:r>
      <w:r w:rsidR="00147EDF" w:rsidRPr="007D35F2">
        <w:t>.</w:t>
      </w:r>
      <w:r w:rsidR="001C66AA" w:rsidRPr="007D35F2">
        <w:t xml:space="preserve"> </w:t>
      </w:r>
      <w:r w:rsidR="00147EDF" w:rsidRPr="007D35F2">
        <w:t>As</w:t>
      </w:r>
      <w:r w:rsidR="002C1D75" w:rsidRPr="007D35F2">
        <w:t xml:space="preserve"> due to those requirements</w:t>
      </w:r>
      <w:r w:rsidR="00147EDF" w:rsidRPr="007D35F2">
        <w:t xml:space="preserve"> </w:t>
      </w:r>
      <w:r w:rsidR="00C8681A" w:rsidRPr="007D35F2">
        <w:t>significant release of formaldehyde</w:t>
      </w:r>
      <w:r w:rsidR="00147EDF" w:rsidRPr="007D35F2">
        <w:t xml:space="preserve"> from </w:t>
      </w:r>
      <w:r w:rsidR="004A0450" w:rsidRPr="007D35F2">
        <w:t>articles intended to come into contact with food</w:t>
      </w:r>
      <w:r w:rsidR="002C1D75" w:rsidRPr="007D35F2">
        <w:t>,</w:t>
      </w:r>
      <w:r w:rsidR="004A0450" w:rsidRPr="007D35F2">
        <w:t xml:space="preserve"> within the meaning of Regulation (EU) 1935/2004 of the European Parliament and the Council</w:t>
      </w:r>
      <w:r w:rsidR="004A0450" w:rsidRPr="007D35F2">
        <w:rPr>
          <w:rStyle w:val="FootnoteReference"/>
        </w:rPr>
        <w:footnoteReference w:id="14"/>
      </w:r>
      <w:r w:rsidR="002C1D75" w:rsidRPr="007D35F2">
        <w:t>,</w:t>
      </w:r>
      <w:r w:rsidR="004A0450" w:rsidRPr="007D35F2">
        <w:t xml:space="preserve"> </w:t>
      </w:r>
      <w:r w:rsidR="00C8681A" w:rsidRPr="007D35F2">
        <w:t>into the surrounding atmosphere</w:t>
      </w:r>
      <w:r w:rsidR="00C8681A" w:rsidRPr="002E74F5">
        <w:t xml:space="preserve"> is highly unlikely</w:t>
      </w:r>
      <w:r w:rsidR="004E0B7F">
        <w:t xml:space="preserve">, </w:t>
      </w:r>
      <w:r w:rsidR="007879DB">
        <w:t>t</w:t>
      </w:r>
      <w:r w:rsidR="00C8681A" w:rsidRPr="002E74F5">
        <w:t xml:space="preserve">he Commission considers that </w:t>
      </w:r>
      <w:r w:rsidR="004A0450">
        <w:t xml:space="preserve">those articles </w:t>
      </w:r>
      <w:r w:rsidR="00512300" w:rsidRPr="002E74F5">
        <w:t>should not be included in the scope of th</w:t>
      </w:r>
      <w:r>
        <w:t>e</w:t>
      </w:r>
      <w:r w:rsidR="00512300" w:rsidRPr="002E74F5">
        <w:t xml:space="preserve"> restriction</w:t>
      </w:r>
      <w:r w:rsidR="004C34CD" w:rsidRPr="002E74F5">
        <w:t>.</w:t>
      </w:r>
    </w:p>
    <w:p w14:paraId="2BEB62A9" w14:textId="56FF6795" w:rsidR="00B13EA6" w:rsidRPr="001E2C0A" w:rsidRDefault="00C66DA1" w:rsidP="004A0450">
      <w:pPr>
        <w:pStyle w:val="Considrant"/>
      </w:pPr>
      <w:r>
        <w:t>The</w:t>
      </w:r>
      <w:r w:rsidR="007E1FA7" w:rsidRPr="001E2C0A">
        <w:t xml:space="preserve"> Dossier Submitter, RAC and SEAC proposed a derogation for toys covered by Directive 2009/48/EC of the European Parliament and of the Council</w:t>
      </w:r>
      <w:r w:rsidR="007E1FA7" w:rsidRPr="001E2C0A">
        <w:rPr>
          <w:rStyle w:val="FootnoteReference"/>
          <w:rFonts w:eastAsia="Calibri"/>
          <w:szCs w:val="24"/>
        </w:rPr>
        <w:footnoteReference w:id="15"/>
      </w:r>
      <w:r w:rsidR="004A0450">
        <w:t xml:space="preserve"> which</w:t>
      </w:r>
      <w:r w:rsidR="004A0450" w:rsidRPr="004A0450">
        <w:t xml:space="preserve"> </w:t>
      </w:r>
      <w:r w:rsidR="004A0450">
        <w:t>set</w:t>
      </w:r>
      <w:r w:rsidR="004A0450" w:rsidRPr="004A0450">
        <w:t xml:space="preserve">s a limit </w:t>
      </w:r>
      <w:r w:rsidR="004A0450">
        <w:t>of 0,</w:t>
      </w:r>
      <w:r w:rsidR="004A0450" w:rsidRPr="004A0450">
        <w:t>1 mg/m</w:t>
      </w:r>
      <w:r w:rsidR="004A0450" w:rsidRPr="003404B7">
        <w:rPr>
          <w:vertAlign w:val="superscript"/>
        </w:rPr>
        <w:t>3</w:t>
      </w:r>
      <w:r w:rsidR="004A0450">
        <w:t xml:space="preserve"> </w:t>
      </w:r>
      <w:r w:rsidR="004A0450" w:rsidRPr="004A0450">
        <w:t xml:space="preserve">for </w:t>
      </w:r>
      <w:r w:rsidR="004A0450">
        <w:t>formaldehyde emissions in resin-</w:t>
      </w:r>
      <w:r w:rsidR="004A0450" w:rsidRPr="004A0450">
        <w:t>bonded wooden toys for children younger than 3</w:t>
      </w:r>
      <w:r w:rsidR="004A0450">
        <w:t xml:space="preserve"> years</w:t>
      </w:r>
      <w:r>
        <w:t>. However</w:t>
      </w:r>
      <w:r w:rsidR="004A0450" w:rsidRPr="004A0450">
        <w:t>,</w:t>
      </w:r>
      <w:r w:rsidR="007E1FA7" w:rsidRPr="001E2C0A">
        <w:t xml:space="preserve"> the Commission considers such a derogation not appropriate because children </w:t>
      </w:r>
      <w:r w:rsidR="00B71D8B" w:rsidRPr="001E2C0A">
        <w:t xml:space="preserve">should </w:t>
      </w:r>
      <w:r w:rsidR="00366312">
        <w:t xml:space="preserve">not </w:t>
      </w:r>
      <w:r w:rsidR="00B71D8B" w:rsidRPr="001E2C0A">
        <w:t xml:space="preserve">be protected </w:t>
      </w:r>
      <w:r w:rsidR="00366312">
        <w:t xml:space="preserve">less strictly than </w:t>
      </w:r>
      <w:r w:rsidR="00366312" w:rsidRPr="001E2C0A">
        <w:t>any other part of the population</w:t>
      </w:r>
      <w:r w:rsidR="007E1FA7" w:rsidRPr="001E2C0A">
        <w:t xml:space="preserve">. </w:t>
      </w:r>
      <w:r>
        <w:t>The</w:t>
      </w:r>
      <w:r w:rsidRPr="001E2C0A">
        <w:t xml:space="preserve"> limit </w:t>
      </w:r>
      <w:r>
        <w:t xml:space="preserve">value </w:t>
      </w:r>
      <w:r w:rsidRPr="001E2C0A">
        <w:t xml:space="preserve">for formaldehyde emissions into indoor air </w:t>
      </w:r>
      <w:r w:rsidRPr="007E0C86">
        <w:t>should</w:t>
      </w:r>
      <w:r>
        <w:t xml:space="preserve"> therefore </w:t>
      </w:r>
      <w:r w:rsidRPr="001E2C0A">
        <w:t>appl</w:t>
      </w:r>
      <w:r>
        <w:t>y</w:t>
      </w:r>
      <w:r w:rsidRPr="001E2C0A">
        <w:t xml:space="preserve"> to toys for children of all ages.</w:t>
      </w:r>
    </w:p>
    <w:p w14:paraId="0034B76E" w14:textId="77777777" w:rsidR="00E544AA" w:rsidRPr="001529F8" w:rsidRDefault="00E544AA" w:rsidP="00327183">
      <w:pPr>
        <w:pStyle w:val="Considrant"/>
      </w:pPr>
      <w:r w:rsidRPr="001529F8">
        <w:t>Regulation (EC) No 1907/2006 should therefore be amended accordingly.</w:t>
      </w:r>
    </w:p>
    <w:p w14:paraId="016D95C3" w14:textId="77777777" w:rsidR="00E4230D" w:rsidRPr="001529F8" w:rsidRDefault="00327183" w:rsidP="00E4230D">
      <w:pPr>
        <w:pStyle w:val="Considrant"/>
      </w:pPr>
      <w:r w:rsidRPr="001529F8">
        <w:t>The measures provided for in this Regulation are in accordance with the opinion of the Committee</w:t>
      </w:r>
      <w:r w:rsidR="000A5A0E" w:rsidRPr="001529F8">
        <w:t xml:space="preserve"> established </w:t>
      </w:r>
      <w:r w:rsidR="00813D6B" w:rsidRPr="001529F8">
        <w:t xml:space="preserve">by </w:t>
      </w:r>
      <w:r w:rsidR="000A5A0E" w:rsidRPr="001529F8">
        <w:t>Article 133</w:t>
      </w:r>
      <w:r w:rsidR="00813D6B" w:rsidRPr="001529F8">
        <w:t>(1)</w:t>
      </w:r>
      <w:r w:rsidR="000A5A0E" w:rsidRPr="001529F8">
        <w:t xml:space="preserve"> of Regulation (EC) No 1907/2006</w:t>
      </w:r>
      <w:r w:rsidRPr="001529F8">
        <w:t>,</w:t>
      </w:r>
    </w:p>
    <w:p w14:paraId="6417000E" w14:textId="77777777" w:rsidR="00327183" w:rsidRPr="00A01AA1" w:rsidRDefault="00327183" w:rsidP="00BA1A57">
      <w:pPr>
        <w:pStyle w:val="Formuledadoption"/>
      </w:pPr>
      <w:r w:rsidRPr="00A01AA1">
        <w:t>HAS ADOPTED THIS REGULATION:</w:t>
      </w:r>
    </w:p>
    <w:p w14:paraId="6169F35C" w14:textId="77777777" w:rsidR="00327183" w:rsidRPr="00A01AA1" w:rsidRDefault="00327183" w:rsidP="0025283E">
      <w:pPr>
        <w:pStyle w:val="Titrearticle"/>
      </w:pPr>
      <w:r w:rsidRPr="00A01AA1">
        <w:t>Article 1</w:t>
      </w:r>
    </w:p>
    <w:p w14:paraId="38AA0084" w14:textId="77777777" w:rsidR="00327183" w:rsidRPr="00A01AA1" w:rsidRDefault="000A5A0E" w:rsidP="0025283E">
      <w:r w:rsidRPr="0041151D">
        <w:t>Annex XVII to Regulation (EC) No 1907/2006 is amended in accordance with the Annex to this Regulation.</w:t>
      </w:r>
    </w:p>
    <w:p w14:paraId="6CE29799" w14:textId="77777777" w:rsidR="00327183" w:rsidRPr="00A01AA1" w:rsidRDefault="00327183" w:rsidP="0025283E">
      <w:pPr>
        <w:pStyle w:val="Titrearticle"/>
      </w:pPr>
      <w:r w:rsidRPr="00A01AA1">
        <w:t xml:space="preserve">Article </w:t>
      </w:r>
      <w:r w:rsidR="000A5A0E">
        <w:t>2</w:t>
      </w:r>
    </w:p>
    <w:p w14:paraId="4BDECC02" w14:textId="77777777" w:rsidR="00037895" w:rsidRPr="00A01AA1" w:rsidRDefault="00327183" w:rsidP="0025283E">
      <w:r w:rsidRPr="00A01AA1">
        <w:t xml:space="preserve">This Regulation shall enter into force on the </w:t>
      </w:r>
      <w:r w:rsidR="000A5A0E">
        <w:t>twentieth</w:t>
      </w:r>
      <w:r w:rsidRPr="00A01AA1">
        <w:t xml:space="preserve"> day following that of its publication in the </w:t>
      </w:r>
      <w:r w:rsidRPr="00A01AA1">
        <w:rPr>
          <w:i/>
        </w:rPr>
        <w:t>Official Journal of the European Union</w:t>
      </w:r>
      <w:r w:rsidRPr="00A01AA1">
        <w:t>.</w:t>
      </w:r>
    </w:p>
    <w:p w14:paraId="3D453348" w14:textId="77777777" w:rsidR="00327183" w:rsidRDefault="00327183" w:rsidP="0025283E">
      <w:pPr>
        <w:pStyle w:val="Applicationdirecte"/>
      </w:pPr>
      <w:r w:rsidRPr="00A01AA1">
        <w:t>This Regulation shall be binding in its entirety and directly applicable in all Member States.</w:t>
      </w:r>
    </w:p>
    <w:p w14:paraId="22CD20BB" w14:textId="72893435" w:rsidR="00E1168B" w:rsidRPr="00E1168B" w:rsidRDefault="00600038" w:rsidP="00600038">
      <w:pPr>
        <w:pStyle w:val="Fait"/>
      </w:pPr>
      <w:r w:rsidRPr="00600038">
        <w:t>Done at Brussels,</w:t>
      </w:r>
    </w:p>
    <w:p w14:paraId="326D7C07" w14:textId="77777777" w:rsidR="00327183" w:rsidRDefault="00327183" w:rsidP="00327183">
      <w:pPr>
        <w:pStyle w:val="Institutionquisigne"/>
      </w:pPr>
      <w:r w:rsidRPr="00327183">
        <w:tab/>
        <w:t>For the Commission</w:t>
      </w:r>
    </w:p>
    <w:p w14:paraId="2D3BE712" w14:textId="77777777" w:rsidR="00415807" w:rsidRPr="002655A9" w:rsidRDefault="00327183" w:rsidP="00606382">
      <w:pPr>
        <w:pStyle w:val="Personnequisigne"/>
        <w:rPr>
          <w:lang w:val="de-DE"/>
        </w:rPr>
      </w:pPr>
      <w:r w:rsidRPr="00327183">
        <w:tab/>
      </w:r>
      <w:r w:rsidRPr="002655A9">
        <w:rPr>
          <w:lang w:val="de-DE"/>
        </w:rPr>
        <w:t>The President</w:t>
      </w:r>
      <w:r w:rsidRPr="002655A9">
        <w:rPr>
          <w:lang w:val="de-DE"/>
        </w:rPr>
        <w:br/>
      </w:r>
      <w:r w:rsidRPr="002655A9">
        <w:rPr>
          <w:lang w:val="de-DE"/>
        </w:rPr>
        <w:tab/>
      </w:r>
      <w:r w:rsidR="002655A9" w:rsidRPr="002655A9">
        <w:rPr>
          <w:lang w:val="de-DE"/>
        </w:rPr>
        <w:t>Ursula von der Leyen</w:t>
      </w:r>
    </w:p>
    <w:sectPr w:rsidR="00415807" w:rsidRPr="002655A9" w:rsidSect="009C6E29">
      <w:footerReference w:type="default" r:id="rId20"/>
      <w:footerReference w:type="first" r:id="rId21"/>
      <w:pgSz w:w="11907" w:h="16839"/>
      <w:pgMar w:top="1134" w:right="1417" w:bottom="1134" w:left="1417" w:header="709"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EC696" w16cex:dateUtc="2021-09-29T08:03:00Z"/>
  <w16cex:commentExtensible w16cex:durableId="24FEDCE1" w16cex:dateUtc="2021-09-29T09:38:00Z"/>
  <w16cex:commentExtensible w16cex:durableId="24FF01B2" w16cex:dateUtc="2021-09-29T12:16:00Z"/>
  <w16cex:commentExtensible w16cex:durableId="2500577A" w16cex:dateUtc="2021-09-30T12:34:00Z"/>
  <w16cex:commentExtensible w16cex:durableId="24FEDDE0" w16cex:dateUtc="2021-09-29T09:43:00Z"/>
  <w16cex:commentExtensible w16cex:durableId="24FED547" w16cex:dateUtc="2021-09-29T09:06:00Z"/>
  <w16cex:commentExtensible w16cex:durableId="250069FC" w16cex:dateUtc="2021-09-30T13:53:00Z"/>
  <w16cex:commentExtensible w16cex:durableId="24FF12C2" w16cex:dateUtc="2021-09-29T13:28:00Z"/>
  <w16cex:commentExtensible w16cex:durableId="24FEDB59" w16cex:dateUtc="2021-09-29T09:32:00Z"/>
  <w16cex:commentExtensible w16cex:durableId="24FEDE0C" w16cex:dateUtc="2021-09-29T09:43:00Z"/>
  <w16cex:commentExtensible w16cex:durableId="25017C97" w16cex:dateUtc="2021-10-01T09:24:00Z"/>
  <w16cex:commentExtensible w16cex:durableId="24FEF7A6" w16cex:dateUtc="2021-09-29T11:33:00Z"/>
  <w16cex:commentExtensible w16cex:durableId="24FEF4BE" w16cex:dateUtc="2021-09-29T11:20:00Z"/>
  <w16cex:commentExtensible w16cex:durableId="24FEF612" w16cex:dateUtc="2021-09-29T11:26:00Z"/>
  <w16cex:commentExtensible w16cex:durableId="24FEF800" w16cex:dateUtc="2021-09-29T11:34:00Z"/>
  <w16cex:commentExtensible w16cex:durableId="25088490" w16cex:dateUtc="2021-10-06T17:24:00Z"/>
  <w16cex:commentExtensible w16cex:durableId="25006E21" w16cex:dateUtc="2021-09-30T14:10:00Z"/>
  <w16cex:commentExtensible w16cex:durableId="24FF0532" w16cex:dateUtc="2021-09-29T12:30:00Z"/>
  <w16cex:commentExtensible w16cex:durableId="24FF058D" w16cex:dateUtc="2021-09-29T12:32:00Z"/>
  <w16cex:commentExtensible w16cex:durableId="25017EBB" w16cex:dateUtc="2021-10-01T09:34:00Z"/>
  <w16cex:commentExtensible w16cex:durableId="24FF081D" w16cex:dateUtc="2021-09-29T12:43:00Z"/>
  <w16cex:commentExtensible w16cex:durableId="2508857B" w16cex:dateUtc="2021-10-06T17:28:00Z"/>
  <w16cex:commentExtensible w16cex:durableId="24FF08DD" w16cex:dateUtc="2021-09-29T12:46:00Z"/>
  <w16cex:commentExtensible w16cex:durableId="24FF0BD0" w16cex:dateUtc="2021-09-29T12:59:00Z"/>
  <w16cex:commentExtensible w16cex:durableId="24FF1044" w16cex:dateUtc="2021-09-29T13:18:00Z"/>
  <w16cex:commentExtensible w16cex:durableId="24FF104D" w16cex:dateUtc="2021-09-29T13:18:00Z"/>
  <w16cex:commentExtensible w16cex:durableId="24FF128F" w16cex:dateUtc="2021-09-29T13:27:00Z"/>
  <w16cex:commentExtensible w16cex:durableId="250018AE" w16cex:dateUtc="2021-09-30T08:06:00Z"/>
  <w16cex:commentExtensible w16cex:durableId="250022E7" w16cex:dateUtc="2021-09-30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F94FD6" w16cid:durableId="24FEC696"/>
  <w16cid:commentId w16cid:paraId="2E4EC0DB" w16cid:durableId="24FEDCE1"/>
  <w16cid:commentId w16cid:paraId="4E9BA700" w16cid:durableId="24FF01B2"/>
  <w16cid:commentId w16cid:paraId="01E1E690" w16cid:durableId="2500577A"/>
  <w16cid:commentId w16cid:paraId="77757FC8" w16cid:durableId="24FEDDE0"/>
  <w16cid:commentId w16cid:paraId="45A0D6FD" w16cid:durableId="24FED547"/>
  <w16cid:commentId w16cid:paraId="3C95DE03" w16cid:durableId="250069FC"/>
  <w16cid:commentId w16cid:paraId="69EA9E4D" w16cid:durableId="24FF12C2"/>
  <w16cid:commentId w16cid:paraId="54CA944A" w16cid:durableId="24FEDB59"/>
  <w16cid:commentId w16cid:paraId="6D68DFAE" w16cid:durableId="24FEDE0C"/>
  <w16cid:commentId w16cid:paraId="6D222E11" w16cid:durableId="25017C97"/>
  <w16cid:commentId w16cid:paraId="13AF96DC" w16cid:durableId="24FEF7A6"/>
  <w16cid:commentId w16cid:paraId="35ECCB44" w16cid:durableId="24FEF4BE"/>
  <w16cid:commentId w16cid:paraId="7A46890A" w16cid:durableId="24FEF612"/>
  <w16cid:commentId w16cid:paraId="562670AA" w16cid:durableId="24FEF800"/>
  <w16cid:commentId w16cid:paraId="515CB150" w16cid:durableId="25088490"/>
  <w16cid:commentId w16cid:paraId="7DFD8EAD" w16cid:durableId="25006E21"/>
  <w16cid:commentId w16cid:paraId="2BBC3280" w16cid:durableId="24FF0532"/>
  <w16cid:commentId w16cid:paraId="05E6B5E0" w16cid:durableId="24FF058D"/>
  <w16cid:commentId w16cid:paraId="39E04972" w16cid:durableId="25017EBB"/>
  <w16cid:commentId w16cid:paraId="7DF2B261" w16cid:durableId="24FF081D"/>
  <w16cid:commentId w16cid:paraId="0212984B" w16cid:durableId="2508857B"/>
  <w16cid:commentId w16cid:paraId="60697CE0" w16cid:durableId="24FF08DD"/>
  <w16cid:commentId w16cid:paraId="68558003" w16cid:durableId="24FF0BD0"/>
  <w16cid:commentId w16cid:paraId="33E9091E" w16cid:durableId="24FF1044"/>
  <w16cid:commentId w16cid:paraId="4150B655" w16cid:durableId="24FF104D"/>
  <w16cid:commentId w16cid:paraId="2ED5BEA9" w16cid:durableId="24FF128F"/>
  <w16cid:commentId w16cid:paraId="0F084935" w16cid:durableId="250018AE"/>
  <w16cid:commentId w16cid:paraId="3588F1E1" w16cid:durableId="250022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3C25B" w14:textId="77777777" w:rsidR="00311258" w:rsidRDefault="00311258" w:rsidP="00327183">
      <w:pPr>
        <w:spacing w:before="0" w:after="0"/>
      </w:pPr>
      <w:r>
        <w:separator/>
      </w:r>
    </w:p>
  </w:endnote>
  <w:endnote w:type="continuationSeparator" w:id="0">
    <w:p w14:paraId="4DAC9375" w14:textId="77777777" w:rsidR="00311258" w:rsidRDefault="00311258" w:rsidP="0032718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72487" w14:textId="77777777" w:rsidR="009C6E29" w:rsidRPr="009C6E29" w:rsidRDefault="009C6E29" w:rsidP="009C6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6C10" w14:textId="59834EB7" w:rsidR="00311258" w:rsidRPr="009C6E29" w:rsidRDefault="009C6E29" w:rsidP="009C6E29">
    <w:pPr>
      <w:pStyle w:val="Footer"/>
      <w:rPr>
        <w:rFonts w:ascii="Arial" w:hAnsi="Arial" w:cs="Arial"/>
        <w:b/>
        <w:sz w:val="48"/>
      </w:rPr>
    </w:pPr>
    <w:r w:rsidRPr="009C6E29">
      <w:rPr>
        <w:rFonts w:ascii="Arial" w:hAnsi="Arial" w:cs="Arial"/>
        <w:b/>
        <w:sz w:val="48"/>
      </w:rPr>
      <w:t>EN</w:t>
    </w:r>
    <w:r w:rsidRPr="009C6E29">
      <w:rPr>
        <w:rFonts w:ascii="Arial" w:hAnsi="Arial" w:cs="Arial"/>
        <w:b/>
        <w:sz w:val="48"/>
      </w:rPr>
      <w:tab/>
    </w:r>
    <w:r w:rsidRPr="009C6E29">
      <w:rPr>
        <w:rFonts w:ascii="Arial" w:hAnsi="Arial" w:cs="Arial"/>
        <w:b/>
        <w:sz w:val="48"/>
      </w:rPr>
      <w:tab/>
    </w:r>
    <w:r w:rsidRPr="009C6E29">
      <w:tab/>
    </w:r>
    <w:r w:rsidRPr="009C6E29">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42F98" w14:textId="77777777" w:rsidR="009C6E29" w:rsidRPr="009C6E29" w:rsidRDefault="009C6E29" w:rsidP="009C6E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97B32" w14:textId="052BF6FA" w:rsidR="009C6E29" w:rsidRPr="009C6E29" w:rsidRDefault="009C6E29" w:rsidP="009C6E29">
    <w:pPr>
      <w:pStyle w:val="Footer"/>
      <w:rPr>
        <w:rFonts w:ascii="Arial" w:hAnsi="Arial" w:cs="Arial"/>
        <w:b/>
        <w:sz w:val="48"/>
      </w:rPr>
    </w:pPr>
    <w:r w:rsidRPr="009C6E29">
      <w:rPr>
        <w:rFonts w:ascii="Arial" w:hAnsi="Arial" w:cs="Arial"/>
        <w:b/>
        <w:sz w:val="48"/>
      </w:rPr>
      <w:t>EN</w:t>
    </w:r>
    <w:r w:rsidRPr="009C6E29">
      <w:rPr>
        <w:rFonts w:ascii="Arial" w:hAnsi="Arial" w:cs="Arial"/>
        <w:b/>
        <w:sz w:val="48"/>
      </w:rPr>
      <w:tab/>
    </w:r>
    <w:r>
      <w:fldChar w:fldCharType="begin"/>
    </w:r>
    <w:r>
      <w:instrText xml:space="preserve"> PAGE  \* MERGEFORMAT </w:instrText>
    </w:r>
    <w:r>
      <w:fldChar w:fldCharType="separate"/>
    </w:r>
    <w:r>
      <w:rPr>
        <w:noProof/>
      </w:rPr>
      <w:t>7</w:t>
    </w:r>
    <w:r>
      <w:fldChar w:fldCharType="end"/>
    </w:r>
    <w:r>
      <w:tab/>
    </w:r>
    <w:r w:rsidRPr="009C6E29">
      <w:tab/>
    </w:r>
    <w:r w:rsidRPr="009C6E29">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BEF16" w14:textId="77777777" w:rsidR="009C6E29" w:rsidRPr="009C6E29" w:rsidRDefault="009C6E29" w:rsidP="009C6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EABD6" w14:textId="77777777" w:rsidR="00311258" w:rsidRDefault="00311258" w:rsidP="00327183">
      <w:pPr>
        <w:spacing w:before="0" w:after="0"/>
      </w:pPr>
      <w:r>
        <w:separator/>
      </w:r>
    </w:p>
  </w:footnote>
  <w:footnote w:type="continuationSeparator" w:id="0">
    <w:p w14:paraId="3E8355C5" w14:textId="77777777" w:rsidR="00311258" w:rsidRDefault="00311258" w:rsidP="00327183">
      <w:pPr>
        <w:spacing w:before="0" w:after="0"/>
      </w:pPr>
      <w:r>
        <w:continuationSeparator/>
      </w:r>
    </w:p>
  </w:footnote>
  <w:footnote w:id="1">
    <w:p w14:paraId="20DA830C" w14:textId="77777777" w:rsidR="00311258" w:rsidRPr="000213F0" w:rsidRDefault="00311258" w:rsidP="0025283E">
      <w:pPr>
        <w:pStyle w:val="FootnoteText"/>
      </w:pPr>
      <w:r>
        <w:rPr>
          <w:rStyle w:val="FootnoteReference"/>
        </w:rPr>
        <w:footnoteRef/>
      </w:r>
      <w:r w:rsidRPr="000213F0">
        <w:tab/>
        <w:t xml:space="preserve">OJ L 396, 30.12.2006, p. 1. </w:t>
      </w:r>
    </w:p>
  </w:footnote>
  <w:footnote w:id="2">
    <w:p w14:paraId="45EB2430" w14:textId="20882399" w:rsidR="00A80B6E" w:rsidRDefault="00A80B6E" w:rsidP="00A80B6E">
      <w:pPr>
        <w:pStyle w:val="FootnoteText"/>
      </w:pPr>
      <w:r w:rsidRPr="001B031C">
        <w:rPr>
          <w:rStyle w:val="FootnoteReference"/>
        </w:rPr>
        <w:footnoteRef/>
      </w:r>
      <w:r w:rsidR="001B031C">
        <w:tab/>
      </w:r>
      <w:r>
        <w:t>Regulation (EC) No 1272/2008 of the European Parliament and of the Council of 16 December 2008 on classification, labelling and packaging of substances and mixtures, amending and repealing Directives 67/548/EEC and 1999/45/EC, and amending Regulation (EC) No 1907/2006 (OJ L 353, 31.12.2008, p. 1).</w:t>
      </w:r>
    </w:p>
  </w:footnote>
  <w:footnote w:id="3">
    <w:p w14:paraId="79E23A46" w14:textId="4D1E4F1A" w:rsidR="00311258" w:rsidRPr="007D35F2" w:rsidRDefault="00311258" w:rsidP="00B41792">
      <w:pPr>
        <w:pStyle w:val="FootnoteText"/>
        <w:ind w:left="0" w:firstLine="0"/>
      </w:pPr>
      <w:r w:rsidRPr="004D0BF1">
        <w:rPr>
          <w:rStyle w:val="FootnoteReference"/>
        </w:rPr>
        <w:footnoteRef/>
      </w:r>
      <w:r w:rsidRPr="007D35F2">
        <w:tab/>
      </w:r>
      <w:r w:rsidRPr="007D35F2">
        <w:rPr>
          <w:rStyle w:val="Hyperlink"/>
        </w:rPr>
        <w:t>https://echa.europa.eu/documents/10162/13641/formaldehyde_cion_reqst_axvdossier_en.pdf/11d4a99a-7210-839a-921d-1a9a4129e93e</w:t>
      </w:r>
      <w:r w:rsidR="001E47D6" w:rsidRPr="007D35F2">
        <w:rPr>
          <w:rStyle w:val="Hyperlink"/>
        </w:rPr>
        <w:t xml:space="preserve"> </w:t>
      </w:r>
    </w:p>
  </w:footnote>
  <w:footnote w:id="4">
    <w:p w14:paraId="76E2843D" w14:textId="7598EA28" w:rsidR="00311258" w:rsidRPr="00BC2E77" w:rsidRDefault="00311258">
      <w:pPr>
        <w:pStyle w:val="FootnoteText"/>
      </w:pPr>
      <w:r w:rsidRPr="004D0BF1">
        <w:rPr>
          <w:rStyle w:val="FootnoteReference"/>
        </w:rPr>
        <w:footnoteRef/>
      </w:r>
      <w:r w:rsidRPr="00BC2E77">
        <w:tab/>
      </w:r>
      <w:hyperlink r:id="rId1" w:history="1">
        <w:r w:rsidRPr="00BC2E77">
          <w:rPr>
            <w:rStyle w:val="Hyperlink"/>
          </w:rPr>
          <w:t>https://echa.europa.eu/registry-of-restriction-intentions/-/dislist/details/0b0236e182439477</w:t>
        </w:r>
      </w:hyperlink>
    </w:p>
  </w:footnote>
  <w:footnote w:id="5">
    <w:p w14:paraId="6AF81F41" w14:textId="54902FAE" w:rsidR="00311258" w:rsidRPr="00091CDF" w:rsidRDefault="00311258" w:rsidP="00B13EA6">
      <w:pPr>
        <w:pStyle w:val="FootnoteText"/>
        <w:ind w:left="0" w:firstLine="0"/>
        <w:rPr>
          <w:lang w:val="en-IE"/>
        </w:rPr>
      </w:pPr>
      <w:r w:rsidRPr="00E83E38">
        <w:rPr>
          <w:rStyle w:val="FootnoteReference"/>
        </w:rPr>
        <w:footnoteRef/>
      </w:r>
      <w:r>
        <w:tab/>
      </w:r>
      <w:r>
        <w:rPr>
          <w:lang w:val="en-IE"/>
        </w:rPr>
        <w:t xml:space="preserve">WHO 2010-WHO Guidelines for Indoor Air quality: Selected Pollutants. Geneva. World Health Organization, </w:t>
      </w:r>
      <w:r w:rsidR="00F55401">
        <w:rPr>
          <w:lang w:val="en-IE"/>
        </w:rPr>
        <w:t xml:space="preserve">p. </w:t>
      </w:r>
      <w:r>
        <w:rPr>
          <w:lang w:val="en-IE"/>
        </w:rPr>
        <w:t>103.</w:t>
      </w:r>
    </w:p>
  </w:footnote>
  <w:footnote w:id="6">
    <w:p w14:paraId="780AD186" w14:textId="24CB2272" w:rsidR="00311258" w:rsidRDefault="00311258">
      <w:pPr>
        <w:pStyle w:val="FootnoteText"/>
      </w:pPr>
      <w:r w:rsidRPr="00496764">
        <w:rPr>
          <w:rStyle w:val="FootnoteReference"/>
        </w:rPr>
        <w:footnoteRef/>
      </w:r>
      <w:r>
        <w:tab/>
      </w:r>
      <w:r w:rsidRPr="00904905">
        <w:t>Compiled version prepared by the ECHA secretar</w:t>
      </w:r>
      <w:r>
        <w:t>iat of RAC’s opinion (adopted 12</w:t>
      </w:r>
      <w:r w:rsidRPr="00904905">
        <w:t xml:space="preserve"> March 2020) and SEAC opinion (adopted 17 September 2020</w:t>
      </w:r>
      <w:r>
        <w:t xml:space="preserve">) </w:t>
      </w:r>
    </w:p>
    <w:p w14:paraId="3347C903" w14:textId="62D3B305" w:rsidR="00311258" w:rsidRDefault="006021FC" w:rsidP="007D35F2">
      <w:pPr>
        <w:pStyle w:val="FootnoteText"/>
        <w:ind w:firstLine="0"/>
      </w:pPr>
      <w:hyperlink r:id="rId2" w:history="1">
        <w:r w:rsidR="00311258" w:rsidRPr="00401CDC">
          <w:rPr>
            <w:rStyle w:val="Hyperlink"/>
          </w:rPr>
          <w:t>https://echa.europa.eu/documents/10162/f10b57af-6075-bb34-2b30-4e0651d0b52f</w:t>
        </w:r>
      </w:hyperlink>
    </w:p>
    <w:p w14:paraId="57671945" w14:textId="77777777" w:rsidR="00311258" w:rsidRPr="005F5A23" w:rsidRDefault="00311258">
      <w:pPr>
        <w:pStyle w:val="FootnoteText"/>
        <w:rPr>
          <w:lang w:val="en-IE"/>
        </w:rPr>
      </w:pPr>
    </w:p>
  </w:footnote>
  <w:footnote w:id="7">
    <w:p w14:paraId="51D20211" w14:textId="5339753A" w:rsidR="00311258" w:rsidRPr="004D70C7" w:rsidRDefault="00311258" w:rsidP="004D70C7">
      <w:pPr>
        <w:pStyle w:val="FootnoteText"/>
      </w:pPr>
      <w:r w:rsidRPr="004D0BF1">
        <w:rPr>
          <w:rStyle w:val="FootnoteReference"/>
        </w:rPr>
        <w:footnoteRef/>
      </w:r>
      <w:r>
        <w:tab/>
      </w:r>
      <w:r w:rsidRPr="008F1C3A">
        <w:t>12219-10: Interior air of road vehicles — Part 10: Whole vehicle test chamber — Specification and methods for the determination of volatile organic compounds in cabin interiors — Trucks and buses</w:t>
      </w:r>
      <w:r w:rsidR="00B71D8B">
        <w:t>.</w:t>
      </w:r>
    </w:p>
  </w:footnote>
  <w:footnote w:id="8">
    <w:p w14:paraId="00A621D1" w14:textId="092ED014" w:rsidR="00311258" w:rsidRPr="00B07510" w:rsidRDefault="00311258" w:rsidP="00B57B2A">
      <w:pPr>
        <w:pStyle w:val="FootnoteText"/>
        <w:ind w:left="0" w:firstLine="0"/>
        <w:rPr>
          <w:lang w:val="en-IE"/>
        </w:rPr>
      </w:pPr>
      <w:r w:rsidRPr="004D0BF1">
        <w:rPr>
          <w:rStyle w:val="FootnoteReference"/>
        </w:rPr>
        <w:footnoteRef/>
      </w:r>
      <w:r>
        <w:tab/>
      </w:r>
      <w:r w:rsidRPr="00DB37A1">
        <w:t>Council Directive 98/24/EC of 7 April 1998 on the protection of the health and safety of workers from the risks related to chemical agents at work (fourteenth individual Directive within the meaning of Article 16(1) of Directive 89/391/EEC)</w:t>
      </w:r>
      <w:r>
        <w:t xml:space="preserve"> (OJ L 131, 5.5.1998, p. 11).</w:t>
      </w:r>
    </w:p>
  </w:footnote>
  <w:footnote w:id="9">
    <w:p w14:paraId="006C0806" w14:textId="3A5ADC08" w:rsidR="00311258" w:rsidRPr="00B07510" w:rsidRDefault="00311258" w:rsidP="00B57B2A">
      <w:pPr>
        <w:pStyle w:val="FootnoteText"/>
        <w:ind w:left="0" w:firstLine="0"/>
        <w:rPr>
          <w:lang w:val="en-IE"/>
        </w:rPr>
      </w:pPr>
      <w:r w:rsidRPr="004D0BF1">
        <w:rPr>
          <w:rStyle w:val="FootnoteReference"/>
        </w:rPr>
        <w:footnoteRef/>
      </w:r>
      <w:r>
        <w:tab/>
      </w:r>
      <w:r w:rsidRPr="00DB37A1">
        <w:t>Directive 2004/37/EC of the European Parliament and of the Council of 29 April 2004 on the protection of workers from the risks related to exposure to carcinogens or mutagens at work (Sixth individual Directive within the meaning of Article 16(1) of Council Directive 89/391/EEC)</w:t>
      </w:r>
      <w:r>
        <w:t xml:space="preserve"> (OJ L 158, 30.4.2004, p. 50).</w:t>
      </w:r>
    </w:p>
  </w:footnote>
  <w:footnote w:id="10">
    <w:p w14:paraId="4B7C9164" w14:textId="0D9AF6E6" w:rsidR="00311258" w:rsidRPr="00B07510" w:rsidRDefault="00311258" w:rsidP="00421AD7">
      <w:pPr>
        <w:pStyle w:val="FootnoteText"/>
        <w:ind w:left="0" w:firstLine="0"/>
        <w:rPr>
          <w:lang w:val="en-IE"/>
        </w:rPr>
      </w:pPr>
      <w:r w:rsidRPr="004D0BF1">
        <w:rPr>
          <w:rStyle w:val="FootnoteReference"/>
        </w:rPr>
        <w:footnoteRef/>
      </w:r>
      <w:r>
        <w:tab/>
      </w:r>
      <w:r w:rsidRPr="00683D77">
        <w:t>Regulation (EU) No 528/2012 of the European Parliament and of the Council of 22 May 2012 concerning the making available on the market and use of biocidal products</w:t>
      </w:r>
      <w:r>
        <w:t xml:space="preserve"> (</w:t>
      </w:r>
      <w:r w:rsidRPr="00683D77">
        <w:t>OJ L 167, 27.6.2012, p. 1</w:t>
      </w:r>
      <w:r>
        <w:t>).</w:t>
      </w:r>
    </w:p>
  </w:footnote>
  <w:footnote w:id="11">
    <w:p w14:paraId="04E28C0C" w14:textId="1EA1C9A3" w:rsidR="00311258" w:rsidRPr="00B07510" w:rsidRDefault="00311258" w:rsidP="00421AD7">
      <w:pPr>
        <w:pStyle w:val="FootnoteText"/>
        <w:ind w:left="0" w:firstLine="0"/>
        <w:rPr>
          <w:lang w:val="en-IE"/>
        </w:rPr>
      </w:pPr>
      <w:r w:rsidRPr="004D0BF1">
        <w:rPr>
          <w:rStyle w:val="FootnoteReference"/>
        </w:rPr>
        <w:footnoteRef/>
      </w:r>
      <w:r>
        <w:tab/>
      </w:r>
      <w:r w:rsidRPr="00E8770C">
        <w:t>Regulation (EU) 2017/745 of the European Parliament and of the Council of 5 April 2017 on medical devices, amending Directive 2001/83/EC, Regulation (EC) No 178/2002 and Regulation (EC) No 1223/2009 and repealing Council Directives 90/385/EEC and 93/42/EEC</w:t>
      </w:r>
      <w:r>
        <w:t xml:space="preserve"> (OJ L 117, 5.5.2017, p. 1).</w:t>
      </w:r>
    </w:p>
  </w:footnote>
  <w:footnote w:id="12">
    <w:p w14:paraId="02236402" w14:textId="726D8AD6" w:rsidR="00311258" w:rsidRPr="00B07510" w:rsidRDefault="00311258" w:rsidP="00421AD7">
      <w:pPr>
        <w:pStyle w:val="FootnoteText"/>
        <w:ind w:left="0" w:firstLine="0"/>
        <w:rPr>
          <w:lang w:val="en-IE"/>
        </w:rPr>
      </w:pPr>
      <w:r w:rsidRPr="004D0BF1">
        <w:rPr>
          <w:rStyle w:val="FootnoteReference"/>
        </w:rPr>
        <w:footnoteRef/>
      </w:r>
      <w:r>
        <w:tab/>
      </w:r>
      <w:r w:rsidRPr="00B07510">
        <w:t>Regulation (EU) 2016/425 of the European Parliament and of the Council of 9 March 2016 on personal protective equipment and repealing Council Directive 89/686/EEC</w:t>
      </w:r>
      <w:r>
        <w:t xml:space="preserve"> (OJ L 81, 31.3.2016, p. 51).</w:t>
      </w:r>
    </w:p>
  </w:footnote>
  <w:footnote w:id="13">
    <w:p w14:paraId="48DEEE6B" w14:textId="57BD3F73" w:rsidR="00311258" w:rsidRPr="009834FB" w:rsidRDefault="00311258" w:rsidP="00C8681A">
      <w:pPr>
        <w:pStyle w:val="FootnoteText"/>
        <w:ind w:left="0" w:firstLine="0"/>
        <w:rPr>
          <w:lang w:val="en-IE"/>
        </w:rPr>
      </w:pPr>
      <w:r w:rsidRPr="004D0BF1">
        <w:rPr>
          <w:rStyle w:val="FootnoteReference"/>
        </w:rPr>
        <w:footnoteRef/>
      </w:r>
      <w:r>
        <w:tab/>
      </w:r>
      <w:r w:rsidRPr="009834FB">
        <w:t>Commission Regulation (EU) No 10/2011 of 14 January 2011 on plastic materials and articles intended to c</w:t>
      </w:r>
      <w:r>
        <w:t>ome into contact with food (</w:t>
      </w:r>
      <w:r w:rsidRPr="009834FB">
        <w:t>OJ L 12, 15.1.2011,</w:t>
      </w:r>
      <w:r>
        <w:t xml:space="preserve"> p. 1).</w:t>
      </w:r>
    </w:p>
  </w:footnote>
  <w:footnote w:id="14">
    <w:p w14:paraId="483B8C4B" w14:textId="77777777" w:rsidR="004A0450" w:rsidRPr="00413B1A" w:rsidRDefault="004A0450" w:rsidP="004A0450">
      <w:pPr>
        <w:pStyle w:val="FootnoteText"/>
        <w:ind w:left="0" w:firstLine="0"/>
      </w:pPr>
      <w:r w:rsidRPr="00F701E2">
        <w:rPr>
          <w:rStyle w:val="FootnoteReference"/>
        </w:rPr>
        <w:footnoteRef/>
      </w:r>
      <w:r>
        <w:tab/>
      </w:r>
      <w:r w:rsidRPr="009F0057">
        <w:t xml:space="preserve">Regulation (EC) No 1935/2004 of the European Parliament and of the Council of 27 October 2004 on materials and articles intended to come into contact with food and repealing Directives 80/590/EEC and 89/109/EEC (OJ L 338, 13.11.2004, p. 4). </w:t>
      </w:r>
    </w:p>
  </w:footnote>
  <w:footnote w:id="15">
    <w:p w14:paraId="4509BBFB" w14:textId="472D9C65" w:rsidR="00311258" w:rsidRPr="00B07510" w:rsidRDefault="00311258" w:rsidP="007E1FA7">
      <w:pPr>
        <w:pStyle w:val="FootnoteText"/>
        <w:ind w:left="0" w:firstLine="0"/>
        <w:rPr>
          <w:lang w:val="en-IE"/>
        </w:rPr>
      </w:pPr>
      <w:r w:rsidRPr="00F701E2">
        <w:rPr>
          <w:rStyle w:val="FootnoteReference"/>
        </w:rPr>
        <w:footnoteRef/>
      </w:r>
      <w:r>
        <w:tab/>
      </w:r>
      <w:r w:rsidRPr="00AE46AB">
        <w:t>Directive 2009/48/EC of the European Parliament and of the Council of 18 June 2009 on the safety of toys</w:t>
      </w:r>
      <w:r>
        <w:t xml:space="preserve"> (OJ L 170, 30.6.2009,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E0E64" w14:textId="77777777" w:rsidR="009C6E29" w:rsidRPr="009C6E29" w:rsidRDefault="009C6E29" w:rsidP="009C6E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E69F8" w14:textId="77777777" w:rsidR="009C6E29" w:rsidRPr="009C6E29" w:rsidRDefault="009C6E29" w:rsidP="009C6E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0EA20" w14:textId="77777777" w:rsidR="009C6E29" w:rsidRPr="009C6E29" w:rsidRDefault="009C6E29" w:rsidP="009C6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826B9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16275D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32EE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A22A00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B9A3B3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B3C186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E5EFC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73C897C"/>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33CE1D55"/>
    <w:multiLevelType w:val="hybridMultilevel"/>
    <w:tmpl w:val="02DE5778"/>
    <w:name w:val="LegalNumParListTemplate3"/>
    <w:lvl w:ilvl="0" w:tplc="D49AC38C">
      <w:start w:val="1"/>
      <w:numFmt w:val="decimal"/>
      <w:pStyle w:val="LegalNumPar"/>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4"/>
    <w:lvlOverride w:ilvl="0">
      <w:startOverride w:val="1"/>
    </w:lvlOverride>
  </w:num>
  <w:num w:numId="10">
    <w:abstractNumId w:val="22"/>
  </w:num>
  <w:num w:numId="11">
    <w:abstractNumId w:val="12"/>
  </w:num>
  <w:num w:numId="12">
    <w:abstractNumId w:val="20"/>
  </w:num>
  <w:num w:numId="13">
    <w:abstractNumId w:val="13"/>
  </w:num>
  <w:num w:numId="14">
    <w:abstractNumId w:val="23"/>
  </w:num>
  <w:num w:numId="15">
    <w:abstractNumId w:val="11"/>
  </w:num>
  <w:num w:numId="16">
    <w:abstractNumId w:val="14"/>
  </w:num>
  <w:num w:numId="17">
    <w:abstractNumId w:val="15"/>
  </w:num>
  <w:num w:numId="18">
    <w:abstractNumId w:val="9"/>
  </w:num>
  <w:num w:numId="19">
    <w:abstractNumId w:val="21"/>
  </w:num>
  <w:num w:numId="20">
    <w:abstractNumId w:val="8"/>
  </w:num>
  <w:num w:numId="21">
    <w:abstractNumId w:val="16"/>
  </w:num>
  <w:num w:numId="22">
    <w:abstractNumId w:val="18"/>
  </w:num>
  <w:num w:numId="23">
    <w:abstractNumId w:val="19"/>
  </w:num>
  <w:num w:numId="24">
    <w:abstractNumId w:val="10"/>
  </w:num>
  <w:num w:numId="25">
    <w:abstractNumId w:val="17"/>
  </w:num>
  <w:num w:numId="26">
    <w:abstractNumId w:val="24"/>
  </w:num>
  <w:num w:numId="27">
    <w:abstractNumId w:val="20"/>
  </w:num>
  <w:num w:numId="28">
    <w:abstractNumId w:val="13"/>
  </w:num>
  <w:num w:numId="29">
    <w:abstractNumId w:val="23"/>
  </w:num>
  <w:num w:numId="30">
    <w:abstractNumId w:val="11"/>
  </w:num>
  <w:num w:numId="31">
    <w:abstractNumId w:val="14"/>
  </w:num>
  <w:num w:numId="32">
    <w:abstractNumId w:val="15"/>
  </w:num>
  <w:num w:numId="33">
    <w:abstractNumId w:val="9"/>
  </w:num>
  <w:num w:numId="34">
    <w:abstractNumId w:val="21"/>
  </w:num>
  <w:num w:numId="35">
    <w:abstractNumId w:val="8"/>
  </w:num>
  <w:num w:numId="36">
    <w:abstractNumId w:val="16"/>
  </w:num>
  <w:num w:numId="37">
    <w:abstractNumId w:val="18"/>
  </w:num>
  <w:num w:numId="38">
    <w:abstractNumId w:val="19"/>
  </w:num>
  <w:num w:numId="39">
    <w:abstractNumId w:val="10"/>
  </w:num>
  <w:num w:numId="40">
    <w:abstractNumId w:val="17"/>
  </w:num>
  <w:num w:numId="41">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s-ES"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0" w:nlCheck="1" w:checkStyle="0"/>
  <w:activeWritingStyle w:appName="MSWord" w:lang="de-DE" w:vendorID="64" w:dllVersion="0" w:nlCheck="1" w:checkStyle="0"/>
  <w:activeWritingStyle w:appName="MSWord" w:lang="es-ES" w:vendorID="64" w:dllVersion="0" w:nlCheck="1" w:checkStyle="0"/>
  <w:activeWritingStyle w:appName="MSWord" w:lang="en-IE" w:vendorID="64" w:dllVersion="0" w:nlCheck="1" w:checkStyle="0"/>
  <w:activeWritingStyle w:appName="MSWord" w:lang="en-GB" w:vendorID="64" w:dllVersion="131078" w:nlCheck="1" w:checkStyle="1"/>
  <w:activeWritingStyle w:appName="MSWord" w:lang="es-ES" w:vendorID="64" w:dllVersion="131078" w:nlCheck="1" w:checkStyle="0"/>
  <w:activeWritingStyle w:appName="MSWord" w:lang="en-IE" w:vendorID="64" w:dllVersion="131078" w:nlCheck="1" w:checkStyle="1"/>
  <w:activeWritingStyle w:appName="MSWord" w:lang="de-DE" w:vendorID="64" w:dllVersion="131078" w:nlCheck="1" w:checkStyle="0"/>
  <w:activeWritingStyle w:appName="MSWord" w:lang="fr-BE" w:vendorID="64" w:dllVersion="131078" w:nlCheck="1" w:checkStyle="0"/>
  <w:activeWritingStyle w:appName="MSWord" w:lang="en-US" w:vendorID="64" w:dllVersion="131078" w:nlCheck="1" w:checkStyle="1"/>
  <w:attachedTemplate r:id="rId1"/>
  <w:defaultTabStop w:val="720"/>
  <w:hyphenationZone w:val="425"/>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4-06 08:52:0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C57825B9-9048-413C-8D7D-4E5A98C70A93"/>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lt;EMPTY&gt;"/>
    <w:docVar w:name="LW_ID_DOCMODEL" w:val="SJ-001"/>
    <w:docVar w:name="LW_ID_DOCSIGNATURE" w:val="SJ-001"/>
    <w:docVar w:name="LW_ID_DOCSTRUCTURE" w:val="COM/AA"/>
    <w:docVar w:name="LW_ID_DOCTYPE" w:val="SJ-001"/>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2)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mending Annex XVII to Regulation (EC) No 1907/2006 of the European Parliament and of the Council as regards formaldehyde and formaldehyde releasers"/>
    <w:docVar w:name="LW_TYPE.DOC.CP" w:val="COMMISSION REGULATION (EU) \u8230?/\u8230?"/>
  </w:docVars>
  <w:rsids>
    <w:rsidRoot w:val="00327183"/>
    <w:rsid w:val="00000851"/>
    <w:rsid w:val="000032B6"/>
    <w:rsid w:val="00003C9B"/>
    <w:rsid w:val="00007BD5"/>
    <w:rsid w:val="00007F7C"/>
    <w:rsid w:val="000127EC"/>
    <w:rsid w:val="00012DA6"/>
    <w:rsid w:val="0001465E"/>
    <w:rsid w:val="00016305"/>
    <w:rsid w:val="00017C22"/>
    <w:rsid w:val="000213F0"/>
    <w:rsid w:val="00021946"/>
    <w:rsid w:val="00023B68"/>
    <w:rsid w:val="000245BF"/>
    <w:rsid w:val="00025322"/>
    <w:rsid w:val="00030CF8"/>
    <w:rsid w:val="000319FB"/>
    <w:rsid w:val="000334BB"/>
    <w:rsid w:val="000355BB"/>
    <w:rsid w:val="000365A0"/>
    <w:rsid w:val="00037143"/>
    <w:rsid w:val="00037895"/>
    <w:rsid w:val="00037A13"/>
    <w:rsid w:val="00040EC3"/>
    <w:rsid w:val="000413B0"/>
    <w:rsid w:val="00042EFB"/>
    <w:rsid w:val="000454E2"/>
    <w:rsid w:val="00045FC5"/>
    <w:rsid w:val="00051FC2"/>
    <w:rsid w:val="00052017"/>
    <w:rsid w:val="00052D26"/>
    <w:rsid w:val="00054A65"/>
    <w:rsid w:val="00054B6B"/>
    <w:rsid w:val="0005570D"/>
    <w:rsid w:val="00056DE7"/>
    <w:rsid w:val="0005738C"/>
    <w:rsid w:val="00060F6E"/>
    <w:rsid w:val="0006434E"/>
    <w:rsid w:val="00065C4F"/>
    <w:rsid w:val="00067E70"/>
    <w:rsid w:val="00070100"/>
    <w:rsid w:val="00071207"/>
    <w:rsid w:val="00071E81"/>
    <w:rsid w:val="000728EB"/>
    <w:rsid w:val="00073410"/>
    <w:rsid w:val="00074235"/>
    <w:rsid w:val="00075D0E"/>
    <w:rsid w:val="000774CA"/>
    <w:rsid w:val="00077CE0"/>
    <w:rsid w:val="0008088C"/>
    <w:rsid w:val="00081376"/>
    <w:rsid w:val="0008273D"/>
    <w:rsid w:val="00083619"/>
    <w:rsid w:val="00086495"/>
    <w:rsid w:val="00091294"/>
    <w:rsid w:val="00091CDF"/>
    <w:rsid w:val="000934AF"/>
    <w:rsid w:val="00094BDE"/>
    <w:rsid w:val="000974C7"/>
    <w:rsid w:val="00097826"/>
    <w:rsid w:val="00097874"/>
    <w:rsid w:val="000A031B"/>
    <w:rsid w:val="000A19B3"/>
    <w:rsid w:val="000A1D9D"/>
    <w:rsid w:val="000A340C"/>
    <w:rsid w:val="000A5A0E"/>
    <w:rsid w:val="000A5D00"/>
    <w:rsid w:val="000A612B"/>
    <w:rsid w:val="000B0EFD"/>
    <w:rsid w:val="000B17DA"/>
    <w:rsid w:val="000B242B"/>
    <w:rsid w:val="000B7730"/>
    <w:rsid w:val="000C122D"/>
    <w:rsid w:val="000C1940"/>
    <w:rsid w:val="000C3212"/>
    <w:rsid w:val="000C367D"/>
    <w:rsid w:val="000C4802"/>
    <w:rsid w:val="000C5B5A"/>
    <w:rsid w:val="000C7BE6"/>
    <w:rsid w:val="000D6135"/>
    <w:rsid w:val="000D7F1F"/>
    <w:rsid w:val="000E12E7"/>
    <w:rsid w:val="000E3119"/>
    <w:rsid w:val="000E4786"/>
    <w:rsid w:val="000E47D2"/>
    <w:rsid w:val="000E5798"/>
    <w:rsid w:val="000F1B63"/>
    <w:rsid w:val="000F23AB"/>
    <w:rsid w:val="000F32C7"/>
    <w:rsid w:val="000F6486"/>
    <w:rsid w:val="00100687"/>
    <w:rsid w:val="00101623"/>
    <w:rsid w:val="0010228C"/>
    <w:rsid w:val="001035CE"/>
    <w:rsid w:val="00103E00"/>
    <w:rsid w:val="001040C2"/>
    <w:rsid w:val="00104444"/>
    <w:rsid w:val="001045BA"/>
    <w:rsid w:val="00104C74"/>
    <w:rsid w:val="001052E1"/>
    <w:rsid w:val="001077CB"/>
    <w:rsid w:val="001079A1"/>
    <w:rsid w:val="00114763"/>
    <w:rsid w:val="001207C2"/>
    <w:rsid w:val="00120F47"/>
    <w:rsid w:val="00120FAF"/>
    <w:rsid w:val="0012148F"/>
    <w:rsid w:val="00121681"/>
    <w:rsid w:val="00124C43"/>
    <w:rsid w:val="0012648E"/>
    <w:rsid w:val="00126EFE"/>
    <w:rsid w:val="00127111"/>
    <w:rsid w:val="001279D1"/>
    <w:rsid w:val="001279FE"/>
    <w:rsid w:val="00131F35"/>
    <w:rsid w:val="00132DAC"/>
    <w:rsid w:val="001373C7"/>
    <w:rsid w:val="00141BA2"/>
    <w:rsid w:val="00142343"/>
    <w:rsid w:val="001453AB"/>
    <w:rsid w:val="00146AD3"/>
    <w:rsid w:val="00147D7E"/>
    <w:rsid w:val="00147EDF"/>
    <w:rsid w:val="001529F8"/>
    <w:rsid w:val="00155679"/>
    <w:rsid w:val="0015625F"/>
    <w:rsid w:val="00156B2F"/>
    <w:rsid w:val="00157281"/>
    <w:rsid w:val="0016019F"/>
    <w:rsid w:val="001601AC"/>
    <w:rsid w:val="001602D3"/>
    <w:rsid w:val="00161054"/>
    <w:rsid w:val="00171168"/>
    <w:rsid w:val="00171C20"/>
    <w:rsid w:val="00172702"/>
    <w:rsid w:val="00173210"/>
    <w:rsid w:val="001740E8"/>
    <w:rsid w:val="001749B0"/>
    <w:rsid w:val="001806F2"/>
    <w:rsid w:val="001807BC"/>
    <w:rsid w:val="00182039"/>
    <w:rsid w:val="00182404"/>
    <w:rsid w:val="001836A0"/>
    <w:rsid w:val="00183E23"/>
    <w:rsid w:val="00191764"/>
    <w:rsid w:val="001920FF"/>
    <w:rsid w:val="001954A8"/>
    <w:rsid w:val="00195BA9"/>
    <w:rsid w:val="001970A5"/>
    <w:rsid w:val="001A069F"/>
    <w:rsid w:val="001A0A74"/>
    <w:rsid w:val="001A0C7A"/>
    <w:rsid w:val="001A187A"/>
    <w:rsid w:val="001A26D2"/>
    <w:rsid w:val="001A41F3"/>
    <w:rsid w:val="001A4A0F"/>
    <w:rsid w:val="001A6258"/>
    <w:rsid w:val="001A62F3"/>
    <w:rsid w:val="001A6317"/>
    <w:rsid w:val="001A73E1"/>
    <w:rsid w:val="001B031C"/>
    <w:rsid w:val="001B09CD"/>
    <w:rsid w:val="001B1F3B"/>
    <w:rsid w:val="001B538C"/>
    <w:rsid w:val="001B5736"/>
    <w:rsid w:val="001B6EF3"/>
    <w:rsid w:val="001B79CE"/>
    <w:rsid w:val="001B7FCD"/>
    <w:rsid w:val="001C2028"/>
    <w:rsid w:val="001C39DE"/>
    <w:rsid w:val="001C4CED"/>
    <w:rsid w:val="001C5BA8"/>
    <w:rsid w:val="001C66AA"/>
    <w:rsid w:val="001C735C"/>
    <w:rsid w:val="001C7869"/>
    <w:rsid w:val="001D0B47"/>
    <w:rsid w:val="001D35EB"/>
    <w:rsid w:val="001D4E9E"/>
    <w:rsid w:val="001D4FA2"/>
    <w:rsid w:val="001D6FED"/>
    <w:rsid w:val="001E076E"/>
    <w:rsid w:val="001E0E6D"/>
    <w:rsid w:val="001E29B5"/>
    <w:rsid w:val="001E2C0A"/>
    <w:rsid w:val="001E47D6"/>
    <w:rsid w:val="001E4AE3"/>
    <w:rsid w:val="001E6BE0"/>
    <w:rsid w:val="001F0343"/>
    <w:rsid w:val="001F5441"/>
    <w:rsid w:val="001F60C3"/>
    <w:rsid w:val="001F6EBF"/>
    <w:rsid w:val="001F791B"/>
    <w:rsid w:val="00202A0C"/>
    <w:rsid w:val="00203F99"/>
    <w:rsid w:val="00204766"/>
    <w:rsid w:val="00204F58"/>
    <w:rsid w:val="00206589"/>
    <w:rsid w:val="00213544"/>
    <w:rsid w:val="002138EF"/>
    <w:rsid w:val="002150C2"/>
    <w:rsid w:val="00215952"/>
    <w:rsid w:val="002218D1"/>
    <w:rsid w:val="0022192D"/>
    <w:rsid w:val="002224F0"/>
    <w:rsid w:val="00224CC8"/>
    <w:rsid w:val="002302D6"/>
    <w:rsid w:val="0023555F"/>
    <w:rsid w:val="00235E3D"/>
    <w:rsid w:val="0024169C"/>
    <w:rsid w:val="00241D31"/>
    <w:rsid w:val="00244CB8"/>
    <w:rsid w:val="00247CB5"/>
    <w:rsid w:val="0025002F"/>
    <w:rsid w:val="00250774"/>
    <w:rsid w:val="0025283E"/>
    <w:rsid w:val="00256B10"/>
    <w:rsid w:val="00256F0B"/>
    <w:rsid w:val="002573D2"/>
    <w:rsid w:val="00260022"/>
    <w:rsid w:val="00262697"/>
    <w:rsid w:val="002655A9"/>
    <w:rsid w:val="002679A4"/>
    <w:rsid w:val="002707FD"/>
    <w:rsid w:val="00271584"/>
    <w:rsid w:val="002721F7"/>
    <w:rsid w:val="00272FAA"/>
    <w:rsid w:val="002732D3"/>
    <w:rsid w:val="00276C51"/>
    <w:rsid w:val="00283417"/>
    <w:rsid w:val="00285200"/>
    <w:rsid w:val="00285F5B"/>
    <w:rsid w:val="00292B86"/>
    <w:rsid w:val="00295D90"/>
    <w:rsid w:val="00295E79"/>
    <w:rsid w:val="002964D1"/>
    <w:rsid w:val="00296517"/>
    <w:rsid w:val="00296D2B"/>
    <w:rsid w:val="002971C8"/>
    <w:rsid w:val="00297A61"/>
    <w:rsid w:val="002A05E5"/>
    <w:rsid w:val="002A5855"/>
    <w:rsid w:val="002A5AB3"/>
    <w:rsid w:val="002B0AC1"/>
    <w:rsid w:val="002B122B"/>
    <w:rsid w:val="002B38AF"/>
    <w:rsid w:val="002B41FE"/>
    <w:rsid w:val="002B478E"/>
    <w:rsid w:val="002B4819"/>
    <w:rsid w:val="002C064E"/>
    <w:rsid w:val="002C0C3E"/>
    <w:rsid w:val="002C1D75"/>
    <w:rsid w:val="002C1D76"/>
    <w:rsid w:val="002C23EB"/>
    <w:rsid w:val="002C6D8A"/>
    <w:rsid w:val="002C78F7"/>
    <w:rsid w:val="002D30C5"/>
    <w:rsid w:val="002D55C1"/>
    <w:rsid w:val="002D7AD9"/>
    <w:rsid w:val="002E4731"/>
    <w:rsid w:val="002E476B"/>
    <w:rsid w:val="002E494B"/>
    <w:rsid w:val="002E5B41"/>
    <w:rsid w:val="002E74F5"/>
    <w:rsid w:val="002E7D0C"/>
    <w:rsid w:val="002F0646"/>
    <w:rsid w:val="002F1526"/>
    <w:rsid w:val="002F1606"/>
    <w:rsid w:val="002F16FC"/>
    <w:rsid w:val="002F17CB"/>
    <w:rsid w:val="002F1EF2"/>
    <w:rsid w:val="002F2B54"/>
    <w:rsid w:val="002F452D"/>
    <w:rsid w:val="00304E48"/>
    <w:rsid w:val="00305AFE"/>
    <w:rsid w:val="003067B7"/>
    <w:rsid w:val="003077CB"/>
    <w:rsid w:val="00311258"/>
    <w:rsid w:val="00313264"/>
    <w:rsid w:val="003201A6"/>
    <w:rsid w:val="00320677"/>
    <w:rsid w:val="00322DC4"/>
    <w:rsid w:val="00324A61"/>
    <w:rsid w:val="003264CD"/>
    <w:rsid w:val="00327183"/>
    <w:rsid w:val="00330237"/>
    <w:rsid w:val="00333605"/>
    <w:rsid w:val="00333C10"/>
    <w:rsid w:val="003343B2"/>
    <w:rsid w:val="003358EF"/>
    <w:rsid w:val="00336607"/>
    <w:rsid w:val="003403EF"/>
    <w:rsid w:val="003404B7"/>
    <w:rsid w:val="00344266"/>
    <w:rsid w:val="00344831"/>
    <w:rsid w:val="00345548"/>
    <w:rsid w:val="003463FC"/>
    <w:rsid w:val="0034742B"/>
    <w:rsid w:val="00347F5D"/>
    <w:rsid w:val="003504E6"/>
    <w:rsid w:val="00352527"/>
    <w:rsid w:val="00355143"/>
    <w:rsid w:val="003557FD"/>
    <w:rsid w:val="003560E0"/>
    <w:rsid w:val="00361832"/>
    <w:rsid w:val="00361ABA"/>
    <w:rsid w:val="00363793"/>
    <w:rsid w:val="00366312"/>
    <w:rsid w:val="0037025E"/>
    <w:rsid w:val="0037076B"/>
    <w:rsid w:val="003707EB"/>
    <w:rsid w:val="0037407B"/>
    <w:rsid w:val="00374B01"/>
    <w:rsid w:val="0037530C"/>
    <w:rsid w:val="00376301"/>
    <w:rsid w:val="00376914"/>
    <w:rsid w:val="00380916"/>
    <w:rsid w:val="00380E88"/>
    <w:rsid w:val="00381EF6"/>
    <w:rsid w:val="00383CB5"/>
    <w:rsid w:val="00384868"/>
    <w:rsid w:val="00390A06"/>
    <w:rsid w:val="00392368"/>
    <w:rsid w:val="0039320A"/>
    <w:rsid w:val="00394210"/>
    <w:rsid w:val="00394C16"/>
    <w:rsid w:val="00396FF4"/>
    <w:rsid w:val="00397B35"/>
    <w:rsid w:val="003A3ED2"/>
    <w:rsid w:val="003A41B7"/>
    <w:rsid w:val="003A429C"/>
    <w:rsid w:val="003A4B94"/>
    <w:rsid w:val="003A6083"/>
    <w:rsid w:val="003B2677"/>
    <w:rsid w:val="003B2FCC"/>
    <w:rsid w:val="003B42DC"/>
    <w:rsid w:val="003B442F"/>
    <w:rsid w:val="003B4E31"/>
    <w:rsid w:val="003B5C21"/>
    <w:rsid w:val="003C1476"/>
    <w:rsid w:val="003C4FA4"/>
    <w:rsid w:val="003C5F10"/>
    <w:rsid w:val="003C6913"/>
    <w:rsid w:val="003C7B9F"/>
    <w:rsid w:val="003D00FB"/>
    <w:rsid w:val="003D0657"/>
    <w:rsid w:val="003D1190"/>
    <w:rsid w:val="003D3041"/>
    <w:rsid w:val="003D5602"/>
    <w:rsid w:val="003D7731"/>
    <w:rsid w:val="003E0265"/>
    <w:rsid w:val="003E08BC"/>
    <w:rsid w:val="003E25F9"/>
    <w:rsid w:val="003E2CD4"/>
    <w:rsid w:val="003F1B9F"/>
    <w:rsid w:val="003F225E"/>
    <w:rsid w:val="003F39A9"/>
    <w:rsid w:val="003F4DBB"/>
    <w:rsid w:val="003F7555"/>
    <w:rsid w:val="004005ED"/>
    <w:rsid w:val="00402654"/>
    <w:rsid w:val="00405E8E"/>
    <w:rsid w:val="0040657A"/>
    <w:rsid w:val="0041151D"/>
    <w:rsid w:val="00412BAD"/>
    <w:rsid w:val="00413B1A"/>
    <w:rsid w:val="00415807"/>
    <w:rsid w:val="004159C0"/>
    <w:rsid w:val="00416A86"/>
    <w:rsid w:val="004172B8"/>
    <w:rsid w:val="00421AD7"/>
    <w:rsid w:val="00427E15"/>
    <w:rsid w:val="00430591"/>
    <w:rsid w:val="0043173C"/>
    <w:rsid w:val="00432222"/>
    <w:rsid w:val="0043372F"/>
    <w:rsid w:val="00440441"/>
    <w:rsid w:val="00444D9A"/>
    <w:rsid w:val="004452D8"/>
    <w:rsid w:val="00445853"/>
    <w:rsid w:val="004461A6"/>
    <w:rsid w:val="00446D7D"/>
    <w:rsid w:val="00447E0C"/>
    <w:rsid w:val="00447F26"/>
    <w:rsid w:val="00451C5F"/>
    <w:rsid w:val="004526B8"/>
    <w:rsid w:val="00456625"/>
    <w:rsid w:val="0045747F"/>
    <w:rsid w:val="00460FBC"/>
    <w:rsid w:val="004613E6"/>
    <w:rsid w:val="00462892"/>
    <w:rsid w:val="0046328F"/>
    <w:rsid w:val="004632CB"/>
    <w:rsid w:val="00466433"/>
    <w:rsid w:val="0046782C"/>
    <w:rsid w:val="00467AFF"/>
    <w:rsid w:val="00467E8C"/>
    <w:rsid w:val="004728E3"/>
    <w:rsid w:val="004740F3"/>
    <w:rsid w:val="00475A97"/>
    <w:rsid w:val="0047612E"/>
    <w:rsid w:val="00477E6A"/>
    <w:rsid w:val="00477F3F"/>
    <w:rsid w:val="00477FC4"/>
    <w:rsid w:val="00480104"/>
    <w:rsid w:val="004804C5"/>
    <w:rsid w:val="00481A0C"/>
    <w:rsid w:val="00486496"/>
    <w:rsid w:val="0048718E"/>
    <w:rsid w:val="00490137"/>
    <w:rsid w:val="0049025A"/>
    <w:rsid w:val="004916D0"/>
    <w:rsid w:val="0049213E"/>
    <w:rsid w:val="00492BE8"/>
    <w:rsid w:val="004944FE"/>
    <w:rsid w:val="00494CF4"/>
    <w:rsid w:val="00495AFF"/>
    <w:rsid w:val="00495C60"/>
    <w:rsid w:val="00496764"/>
    <w:rsid w:val="004978FC"/>
    <w:rsid w:val="004A0450"/>
    <w:rsid w:val="004A0DF0"/>
    <w:rsid w:val="004A2F01"/>
    <w:rsid w:val="004A38F5"/>
    <w:rsid w:val="004A3BE5"/>
    <w:rsid w:val="004A5428"/>
    <w:rsid w:val="004A5AE8"/>
    <w:rsid w:val="004A5DFB"/>
    <w:rsid w:val="004A6927"/>
    <w:rsid w:val="004A76DF"/>
    <w:rsid w:val="004B2479"/>
    <w:rsid w:val="004B3859"/>
    <w:rsid w:val="004B39C6"/>
    <w:rsid w:val="004B5628"/>
    <w:rsid w:val="004B5C8B"/>
    <w:rsid w:val="004B7F9C"/>
    <w:rsid w:val="004C077E"/>
    <w:rsid w:val="004C2C38"/>
    <w:rsid w:val="004C2F96"/>
    <w:rsid w:val="004C34CD"/>
    <w:rsid w:val="004C5E39"/>
    <w:rsid w:val="004D0BF1"/>
    <w:rsid w:val="004D10F4"/>
    <w:rsid w:val="004D21C9"/>
    <w:rsid w:val="004D29A0"/>
    <w:rsid w:val="004D2D7E"/>
    <w:rsid w:val="004D2EB4"/>
    <w:rsid w:val="004D36BF"/>
    <w:rsid w:val="004D70C7"/>
    <w:rsid w:val="004D7FF8"/>
    <w:rsid w:val="004E0B7F"/>
    <w:rsid w:val="004E2B8B"/>
    <w:rsid w:val="004E35BD"/>
    <w:rsid w:val="004E6AD2"/>
    <w:rsid w:val="004F0A0A"/>
    <w:rsid w:val="004F52B5"/>
    <w:rsid w:val="004F7196"/>
    <w:rsid w:val="00501789"/>
    <w:rsid w:val="005063E2"/>
    <w:rsid w:val="00512300"/>
    <w:rsid w:val="00513611"/>
    <w:rsid w:val="005137A7"/>
    <w:rsid w:val="00513887"/>
    <w:rsid w:val="00513F85"/>
    <w:rsid w:val="005252AA"/>
    <w:rsid w:val="00532024"/>
    <w:rsid w:val="0053298F"/>
    <w:rsid w:val="0053739B"/>
    <w:rsid w:val="00541D32"/>
    <w:rsid w:val="00543BB3"/>
    <w:rsid w:val="00545268"/>
    <w:rsid w:val="005454D2"/>
    <w:rsid w:val="005460BB"/>
    <w:rsid w:val="005469D1"/>
    <w:rsid w:val="00547ED6"/>
    <w:rsid w:val="00551403"/>
    <w:rsid w:val="00551586"/>
    <w:rsid w:val="005518AE"/>
    <w:rsid w:val="00554BE2"/>
    <w:rsid w:val="005604B0"/>
    <w:rsid w:val="0056124E"/>
    <w:rsid w:val="00563E66"/>
    <w:rsid w:val="00570774"/>
    <w:rsid w:val="005725A6"/>
    <w:rsid w:val="005764B7"/>
    <w:rsid w:val="00576F0E"/>
    <w:rsid w:val="005778BC"/>
    <w:rsid w:val="0058019C"/>
    <w:rsid w:val="005813D6"/>
    <w:rsid w:val="00584437"/>
    <w:rsid w:val="00592FC8"/>
    <w:rsid w:val="005A1C8F"/>
    <w:rsid w:val="005A32A9"/>
    <w:rsid w:val="005A54B1"/>
    <w:rsid w:val="005B38E0"/>
    <w:rsid w:val="005B3A09"/>
    <w:rsid w:val="005B5415"/>
    <w:rsid w:val="005B761C"/>
    <w:rsid w:val="005B7A47"/>
    <w:rsid w:val="005C0308"/>
    <w:rsid w:val="005C03ED"/>
    <w:rsid w:val="005C459B"/>
    <w:rsid w:val="005C6DDE"/>
    <w:rsid w:val="005C732C"/>
    <w:rsid w:val="005C7AD6"/>
    <w:rsid w:val="005D3180"/>
    <w:rsid w:val="005D4C3D"/>
    <w:rsid w:val="005D797C"/>
    <w:rsid w:val="005E0081"/>
    <w:rsid w:val="005E1F3A"/>
    <w:rsid w:val="005F5A23"/>
    <w:rsid w:val="005F625A"/>
    <w:rsid w:val="00600038"/>
    <w:rsid w:val="00600864"/>
    <w:rsid w:val="006021FC"/>
    <w:rsid w:val="006031A0"/>
    <w:rsid w:val="00604101"/>
    <w:rsid w:val="00606382"/>
    <w:rsid w:val="00607815"/>
    <w:rsid w:val="00607D66"/>
    <w:rsid w:val="0061212E"/>
    <w:rsid w:val="00612B03"/>
    <w:rsid w:val="006130AE"/>
    <w:rsid w:val="00614E14"/>
    <w:rsid w:val="00620B9F"/>
    <w:rsid w:val="00620BC6"/>
    <w:rsid w:val="006222E5"/>
    <w:rsid w:val="00622A9A"/>
    <w:rsid w:val="00622F8A"/>
    <w:rsid w:val="0062341A"/>
    <w:rsid w:val="00625033"/>
    <w:rsid w:val="006259D6"/>
    <w:rsid w:val="006259E8"/>
    <w:rsid w:val="006300D2"/>
    <w:rsid w:val="00633537"/>
    <w:rsid w:val="00633565"/>
    <w:rsid w:val="006341BB"/>
    <w:rsid w:val="00636AFE"/>
    <w:rsid w:val="00640F7E"/>
    <w:rsid w:val="0064294F"/>
    <w:rsid w:val="00643A77"/>
    <w:rsid w:val="00644B4E"/>
    <w:rsid w:val="0064598F"/>
    <w:rsid w:val="00645CF4"/>
    <w:rsid w:val="00646D6F"/>
    <w:rsid w:val="00651260"/>
    <w:rsid w:val="00653929"/>
    <w:rsid w:val="00653E5F"/>
    <w:rsid w:val="006554AF"/>
    <w:rsid w:val="00657E5A"/>
    <w:rsid w:val="00660F91"/>
    <w:rsid w:val="00662FCA"/>
    <w:rsid w:val="00664D2F"/>
    <w:rsid w:val="0067144C"/>
    <w:rsid w:val="00672C9B"/>
    <w:rsid w:val="006743B1"/>
    <w:rsid w:val="00674428"/>
    <w:rsid w:val="006744F2"/>
    <w:rsid w:val="00675E51"/>
    <w:rsid w:val="006764C4"/>
    <w:rsid w:val="00677AFA"/>
    <w:rsid w:val="006801F9"/>
    <w:rsid w:val="006806E8"/>
    <w:rsid w:val="00681549"/>
    <w:rsid w:val="0068172F"/>
    <w:rsid w:val="00685542"/>
    <w:rsid w:val="006861F8"/>
    <w:rsid w:val="00686ABF"/>
    <w:rsid w:val="00691514"/>
    <w:rsid w:val="00693765"/>
    <w:rsid w:val="00693DEF"/>
    <w:rsid w:val="006942A9"/>
    <w:rsid w:val="006A1609"/>
    <w:rsid w:val="006A3147"/>
    <w:rsid w:val="006A3C63"/>
    <w:rsid w:val="006A561F"/>
    <w:rsid w:val="006A6285"/>
    <w:rsid w:val="006A629F"/>
    <w:rsid w:val="006B1BD1"/>
    <w:rsid w:val="006B214F"/>
    <w:rsid w:val="006B27ED"/>
    <w:rsid w:val="006B2A42"/>
    <w:rsid w:val="006B6A37"/>
    <w:rsid w:val="006C02DB"/>
    <w:rsid w:val="006C25B7"/>
    <w:rsid w:val="006C2740"/>
    <w:rsid w:val="006C5497"/>
    <w:rsid w:val="006C6B55"/>
    <w:rsid w:val="006C6BA3"/>
    <w:rsid w:val="006C7CA3"/>
    <w:rsid w:val="006D09A2"/>
    <w:rsid w:val="006D240A"/>
    <w:rsid w:val="006D3EEC"/>
    <w:rsid w:val="006D425F"/>
    <w:rsid w:val="006D4AC5"/>
    <w:rsid w:val="006D5A39"/>
    <w:rsid w:val="006D70D7"/>
    <w:rsid w:val="006D70F2"/>
    <w:rsid w:val="006E0CD8"/>
    <w:rsid w:val="006E0EE3"/>
    <w:rsid w:val="006E4CB8"/>
    <w:rsid w:val="006E7C42"/>
    <w:rsid w:val="006F120D"/>
    <w:rsid w:val="006F3353"/>
    <w:rsid w:val="006F56EE"/>
    <w:rsid w:val="006F588A"/>
    <w:rsid w:val="007008FC"/>
    <w:rsid w:val="00701A01"/>
    <w:rsid w:val="00704613"/>
    <w:rsid w:val="007057A2"/>
    <w:rsid w:val="0070760A"/>
    <w:rsid w:val="00710554"/>
    <w:rsid w:val="00712631"/>
    <w:rsid w:val="00712C5B"/>
    <w:rsid w:val="00715766"/>
    <w:rsid w:val="0071606F"/>
    <w:rsid w:val="00717249"/>
    <w:rsid w:val="007220A9"/>
    <w:rsid w:val="00724334"/>
    <w:rsid w:val="00724E23"/>
    <w:rsid w:val="007302A1"/>
    <w:rsid w:val="00731831"/>
    <w:rsid w:val="00734146"/>
    <w:rsid w:val="00734E29"/>
    <w:rsid w:val="00740DC8"/>
    <w:rsid w:val="00741D36"/>
    <w:rsid w:val="00742563"/>
    <w:rsid w:val="00744664"/>
    <w:rsid w:val="00744A24"/>
    <w:rsid w:val="00747005"/>
    <w:rsid w:val="00747791"/>
    <w:rsid w:val="00747F52"/>
    <w:rsid w:val="0075085E"/>
    <w:rsid w:val="00750F6C"/>
    <w:rsid w:val="00752466"/>
    <w:rsid w:val="00756103"/>
    <w:rsid w:val="00757514"/>
    <w:rsid w:val="007610BF"/>
    <w:rsid w:val="007610F9"/>
    <w:rsid w:val="007624F8"/>
    <w:rsid w:val="00762CF5"/>
    <w:rsid w:val="007667B2"/>
    <w:rsid w:val="00770E99"/>
    <w:rsid w:val="00771415"/>
    <w:rsid w:val="00775A59"/>
    <w:rsid w:val="00775F14"/>
    <w:rsid w:val="00776D51"/>
    <w:rsid w:val="00785BF5"/>
    <w:rsid w:val="0078689F"/>
    <w:rsid w:val="007879DB"/>
    <w:rsid w:val="00787F53"/>
    <w:rsid w:val="00790BD1"/>
    <w:rsid w:val="00791A50"/>
    <w:rsid w:val="00792C3E"/>
    <w:rsid w:val="00793EE0"/>
    <w:rsid w:val="00794233"/>
    <w:rsid w:val="007963A6"/>
    <w:rsid w:val="00797EF0"/>
    <w:rsid w:val="007A0E77"/>
    <w:rsid w:val="007A169F"/>
    <w:rsid w:val="007A19A2"/>
    <w:rsid w:val="007A2E0C"/>
    <w:rsid w:val="007A3FF6"/>
    <w:rsid w:val="007A469F"/>
    <w:rsid w:val="007A6034"/>
    <w:rsid w:val="007A7090"/>
    <w:rsid w:val="007A7D65"/>
    <w:rsid w:val="007B0BA4"/>
    <w:rsid w:val="007B2059"/>
    <w:rsid w:val="007B6627"/>
    <w:rsid w:val="007B6CFD"/>
    <w:rsid w:val="007B78C0"/>
    <w:rsid w:val="007C0899"/>
    <w:rsid w:val="007C0D82"/>
    <w:rsid w:val="007C34AE"/>
    <w:rsid w:val="007C377A"/>
    <w:rsid w:val="007C481F"/>
    <w:rsid w:val="007C631E"/>
    <w:rsid w:val="007C7E9A"/>
    <w:rsid w:val="007D0515"/>
    <w:rsid w:val="007D178B"/>
    <w:rsid w:val="007D35F2"/>
    <w:rsid w:val="007D3F96"/>
    <w:rsid w:val="007D7C0E"/>
    <w:rsid w:val="007D7EC1"/>
    <w:rsid w:val="007E0C74"/>
    <w:rsid w:val="007E0C86"/>
    <w:rsid w:val="007E1FA7"/>
    <w:rsid w:val="007E2363"/>
    <w:rsid w:val="007E23F3"/>
    <w:rsid w:val="007E36F9"/>
    <w:rsid w:val="007E45F1"/>
    <w:rsid w:val="007E5DC6"/>
    <w:rsid w:val="007E5F18"/>
    <w:rsid w:val="007E7833"/>
    <w:rsid w:val="007F5D5B"/>
    <w:rsid w:val="007F676B"/>
    <w:rsid w:val="008043E2"/>
    <w:rsid w:val="00813D6B"/>
    <w:rsid w:val="0081420D"/>
    <w:rsid w:val="00816064"/>
    <w:rsid w:val="008177B5"/>
    <w:rsid w:val="008218CF"/>
    <w:rsid w:val="0082251D"/>
    <w:rsid w:val="008256D3"/>
    <w:rsid w:val="00825DC5"/>
    <w:rsid w:val="008267A8"/>
    <w:rsid w:val="00830660"/>
    <w:rsid w:val="00831EE8"/>
    <w:rsid w:val="00832681"/>
    <w:rsid w:val="00834703"/>
    <w:rsid w:val="00836D4E"/>
    <w:rsid w:val="0084226B"/>
    <w:rsid w:val="00842511"/>
    <w:rsid w:val="00843353"/>
    <w:rsid w:val="00845369"/>
    <w:rsid w:val="008465B1"/>
    <w:rsid w:val="008516B9"/>
    <w:rsid w:val="0085247B"/>
    <w:rsid w:val="00853CA4"/>
    <w:rsid w:val="00855455"/>
    <w:rsid w:val="008564D6"/>
    <w:rsid w:val="00856A5A"/>
    <w:rsid w:val="008575AB"/>
    <w:rsid w:val="008601BE"/>
    <w:rsid w:val="008603E4"/>
    <w:rsid w:val="00860EB6"/>
    <w:rsid w:val="0086310F"/>
    <w:rsid w:val="00864ECF"/>
    <w:rsid w:val="008676C9"/>
    <w:rsid w:val="008706F1"/>
    <w:rsid w:val="00870DEF"/>
    <w:rsid w:val="0087164F"/>
    <w:rsid w:val="00871681"/>
    <w:rsid w:val="00871892"/>
    <w:rsid w:val="00873398"/>
    <w:rsid w:val="00876316"/>
    <w:rsid w:val="008764CF"/>
    <w:rsid w:val="008777BA"/>
    <w:rsid w:val="00877878"/>
    <w:rsid w:val="00877D51"/>
    <w:rsid w:val="0088163E"/>
    <w:rsid w:val="00881A3E"/>
    <w:rsid w:val="00881E2B"/>
    <w:rsid w:val="00882456"/>
    <w:rsid w:val="00886D75"/>
    <w:rsid w:val="00886F23"/>
    <w:rsid w:val="008875E0"/>
    <w:rsid w:val="00887E72"/>
    <w:rsid w:val="00892315"/>
    <w:rsid w:val="0089390C"/>
    <w:rsid w:val="008974D2"/>
    <w:rsid w:val="00897F9B"/>
    <w:rsid w:val="008A0BCD"/>
    <w:rsid w:val="008A2DA2"/>
    <w:rsid w:val="008A5715"/>
    <w:rsid w:val="008A5940"/>
    <w:rsid w:val="008A619D"/>
    <w:rsid w:val="008A7326"/>
    <w:rsid w:val="008B242A"/>
    <w:rsid w:val="008B381B"/>
    <w:rsid w:val="008B3F70"/>
    <w:rsid w:val="008B68BB"/>
    <w:rsid w:val="008C0217"/>
    <w:rsid w:val="008C1E3B"/>
    <w:rsid w:val="008C3BF4"/>
    <w:rsid w:val="008C495D"/>
    <w:rsid w:val="008C5F85"/>
    <w:rsid w:val="008D133C"/>
    <w:rsid w:val="008D1BA0"/>
    <w:rsid w:val="008D3730"/>
    <w:rsid w:val="008D4CB3"/>
    <w:rsid w:val="008D5843"/>
    <w:rsid w:val="008D72B3"/>
    <w:rsid w:val="008E28EE"/>
    <w:rsid w:val="008E5EB8"/>
    <w:rsid w:val="008E7B00"/>
    <w:rsid w:val="008F1C3A"/>
    <w:rsid w:val="008F3942"/>
    <w:rsid w:val="008F46F9"/>
    <w:rsid w:val="008F5BD3"/>
    <w:rsid w:val="009003E4"/>
    <w:rsid w:val="0090400C"/>
    <w:rsid w:val="00904905"/>
    <w:rsid w:val="009052E6"/>
    <w:rsid w:val="009070B3"/>
    <w:rsid w:val="00910FB6"/>
    <w:rsid w:val="00912051"/>
    <w:rsid w:val="0091493E"/>
    <w:rsid w:val="00920BEE"/>
    <w:rsid w:val="009217D7"/>
    <w:rsid w:val="00924E44"/>
    <w:rsid w:val="00925D5D"/>
    <w:rsid w:val="009269E4"/>
    <w:rsid w:val="00926BA3"/>
    <w:rsid w:val="00931C84"/>
    <w:rsid w:val="00936D2D"/>
    <w:rsid w:val="009405D6"/>
    <w:rsid w:val="00941899"/>
    <w:rsid w:val="00942A06"/>
    <w:rsid w:val="00943205"/>
    <w:rsid w:val="00943555"/>
    <w:rsid w:val="00946A8C"/>
    <w:rsid w:val="009501FB"/>
    <w:rsid w:val="00950DED"/>
    <w:rsid w:val="00953F6E"/>
    <w:rsid w:val="009547EA"/>
    <w:rsid w:val="009554FC"/>
    <w:rsid w:val="00956C39"/>
    <w:rsid w:val="00957300"/>
    <w:rsid w:val="0095790F"/>
    <w:rsid w:val="00957DD6"/>
    <w:rsid w:val="00960E19"/>
    <w:rsid w:val="009629A1"/>
    <w:rsid w:val="00962A9A"/>
    <w:rsid w:val="00963ED5"/>
    <w:rsid w:val="0096544E"/>
    <w:rsid w:val="00965C00"/>
    <w:rsid w:val="009714D0"/>
    <w:rsid w:val="0097340B"/>
    <w:rsid w:val="00974010"/>
    <w:rsid w:val="009770C3"/>
    <w:rsid w:val="00977471"/>
    <w:rsid w:val="00981AEB"/>
    <w:rsid w:val="009834FB"/>
    <w:rsid w:val="009916A6"/>
    <w:rsid w:val="00991A02"/>
    <w:rsid w:val="00993829"/>
    <w:rsid w:val="009A1004"/>
    <w:rsid w:val="009A6259"/>
    <w:rsid w:val="009A79AD"/>
    <w:rsid w:val="009B0EA3"/>
    <w:rsid w:val="009B3790"/>
    <w:rsid w:val="009B3C6C"/>
    <w:rsid w:val="009C29C2"/>
    <w:rsid w:val="009C357B"/>
    <w:rsid w:val="009C4329"/>
    <w:rsid w:val="009C4C73"/>
    <w:rsid w:val="009C6762"/>
    <w:rsid w:val="009C679F"/>
    <w:rsid w:val="009C6E29"/>
    <w:rsid w:val="009D2C41"/>
    <w:rsid w:val="009D399D"/>
    <w:rsid w:val="009D5ABF"/>
    <w:rsid w:val="009D7307"/>
    <w:rsid w:val="009D7B58"/>
    <w:rsid w:val="009E15EA"/>
    <w:rsid w:val="009E62A2"/>
    <w:rsid w:val="009F0057"/>
    <w:rsid w:val="009F40C8"/>
    <w:rsid w:val="009F6617"/>
    <w:rsid w:val="009F6793"/>
    <w:rsid w:val="00A00FBA"/>
    <w:rsid w:val="00A015F9"/>
    <w:rsid w:val="00A0193D"/>
    <w:rsid w:val="00A01A98"/>
    <w:rsid w:val="00A04FBC"/>
    <w:rsid w:val="00A0552E"/>
    <w:rsid w:val="00A05D39"/>
    <w:rsid w:val="00A06DCF"/>
    <w:rsid w:val="00A111EF"/>
    <w:rsid w:val="00A11DD6"/>
    <w:rsid w:val="00A12113"/>
    <w:rsid w:val="00A122BA"/>
    <w:rsid w:val="00A130D9"/>
    <w:rsid w:val="00A165CF"/>
    <w:rsid w:val="00A17745"/>
    <w:rsid w:val="00A20BAB"/>
    <w:rsid w:val="00A243F6"/>
    <w:rsid w:val="00A24B4F"/>
    <w:rsid w:val="00A25555"/>
    <w:rsid w:val="00A314EE"/>
    <w:rsid w:val="00A320CA"/>
    <w:rsid w:val="00A36E21"/>
    <w:rsid w:val="00A37E9A"/>
    <w:rsid w:val="00A4688B"/>
    <w:rsid w:val="00A46BB6"/>
    <w:rsid w:val="00A46C93"/>
    <w:rsid w:val="00A50BD8"/>
    <w:rsid w:val="00A51FA1"/>
    <w:rsid w:val="00A52C1D"/>
    <w:rsid w:val="00A540C3"/>
    <w:rsid w:val="00A558D5"/>
    <w:rsid w:val="00A5697F"/>
    <w:rsid w:val="00A572B4"/>
    <w:rsid w:val="00A61B10"/>
    <w:rsid w:val="00A64810"/>
    <w:rsid w:val="00A64D02"/>
    <w:rsid w:val="00A64D26"/>
    <w:rsid w:val="00A65AFF"/>
    <w:rsid w:val="00A66E09"/>
    <w:rsid w:val="00A67DE9"/>
    <w:rsid w:val="00A704C7"/>
    <w:rsid w:val="00A7061C"/>
    <w:rsid w:val="00A7543A"/>
    <w:rsid w:val="00A75DA7"/>
    <w:rsid w:val="00A76512"/>
    <w:rsid w:val="00A76E48"/>
    <w:rsid w:val="00A77BAE"/>
    <w:rsid w:val="00A80A71"/>
    <w:rsid w:val="00A80B6E"/>
    <w:rsid w:val="00A833CD"/>
    <w:rsid w:val="00A84A49"/>
    <w:rsid w:val="00A84BE2"/>
    <w:rsid w:val="00A861E0"/>
    <w:rsid w:val="00A8763C"/>
    <w:rsid w:val="00A916D6"/>
    <w:rsid w:val="00A91C9C"/>
    <w:rsid w:val="00A958BC"/>
    <w:rsid w:val="00A95EF8"/>
    <w:rsid w:val="00AA04DA"/>
    <w:rsid w:val="00AA2D26"/>
    <w:rsid w:val="00AA2F44"/>
    <w:rsid w:val="00AA46ED"/>
    <w:rsid w:val="00AA52DB"/>
    <w:rsid w:val="00AA56CF"/>
    <w:rsid w:val="00AB0C59"/>
    <w:rsid w:val="00AB1274"/>
    <w:rsid w:val="00AB134A"/>
    <w:rsid w:val="00AB2289"/>
    <w:rsid w:val="00AB33B1"/>
    <w:rsid w:val="00AB393A"/>
    <w:rsid w:val="00AC291E"/>
    <w:rsid w:val="00AC3E4D"/>
    <w:rsid w:val="00AC5DA1"/>
    <w:rsid w:val="00AC7866"/>
    <w:rsid w:val="00AD32F2"/>
    <w:rsid w:val="00AD3B1E"/>
    <w:rsid w:val="00AD496B"/>
    <w:rsid w:val="00AD5127"/>
    <w:rsid w:val="00AD5AD4"/>
    <w:rsid w:val="00AD69B3"/>
    <w:rsid w:val="00AE07AD"/>
    <w:rsid w:val="00AE13F5"/>
    <w:rsid w:val="00AE14AD"/>
    <w:rsid w:val="00AE2A4B"/>
    <w:rsid w:val="00AE32B5"/>
    <w:rsid w:val="00AE3A60"/>
    <w:rsid w:val="00AE4319"/>
    <w:rsid w:val="00AE6C90"/>
    <w:rsid w:val="00AE759B"/>
    <w:rsid w:val="00AE7C1C"/>
    <w:rsid w:val="00AF0CCD"/>
    <w:rsid w:val="00AF2141"/>
    <w:rsid w:val="00AF6842"/>
    <w:rsid w:val="00AF70B0"/>
    <w:rsid w:val="00B00344"/>
    <w:rsid w:val="00B053DF"/>
    <w:rsid w:val="00B068E2"/>
    <w:rsid w:val="00B074E1"/>
    <w:rsid w:val="00B118DC"/>
    <w:rsid w:val="00B1265D"/>
    <w:rsid w:val="00B13874"/>
    <w:rsid w:val="00B13EA6"/>
    <w:rsid w:val="00B17216"/>
    <w:rsid w:val="00B17F91"/>
    <w:rsid w:val="00B2287F"/>
    <w:rsid w:val="00B22EAA"/>
    <w:rsid w:val="00B22EE3"/>
    <w:rsid w:val="00B23394"/>
    <w:rsid w:val="00B23642"/>
    <w:rsid w:val="00B32720"/>
    <w:rsid w:val="00B35029"/>
    <w:rsid w:val="00B3595A"/>
    <w:rsid w:val="00B35AD7"/>
    <w:rsid w:val="00B4092D"/>
    <w:rsid w:val="00B41792"/>
    <w:rsid w:val="00B43D65"/>
    <w:rsid w:val="00B4587B"/>
    <w:rsid w:val="00B50611"/>
    <w:rsid w:val="00B50CC2"/>
    <w:rsid w:val="00B51D7C"/>
    <w:rsid w:val="00B521E2"/>
    <w:rsid w:val="00B55D7F"/>
    <w:rsid w:val="00B57B2A"/>
    <w:rsid w:val="00B6181C"/>
    <w:rsid w:val="00B64A8C"/>
    <w:rsid w:val="00B661A2"/>
    <w:rsid w:val="00B66A73"/>
    <w:rsid w:val="00B67F82"/>
    <w:rsid w:val="00B704FB"/>
    <w:rsid w:val="00B71D8B"/>
    <w:rsid w:val="00B7200D"/>
    <w:rsid w:val="00B72929"/>
    <w:rsid w:val="00B73629"/>
    <w:rsid w:val="00B74444"/>
    <w:rsid w:val="00B771A5"/>
    <w:rsid w:val="00B833DD"/>
    <w:rsid w:val="00B867E5"/>
    <w:rsid w:val="00B91CE1"/>
    <w:rsid w:val="00B92F59"/>
    <w:rsid w:val="00B9541F"/>
    <w:rsid w:val="00B9583C"/>
    <w:rsid w:val="00B95D60"/>
    <w:rsid w:val="00B975DC"/>
    <w:rsid w:val="00B97911"/>
    <w:rsid w:val="00BA1A57"/>
    <w:rsid w:val="00BA223C"/>
    <w:rsid w:val="00BA2754"/>
    <w:rsid w:val="00BA2C89"/>
    <w:rsid w:val="00BA7793"/>
    <w:rsid w:val="00BA79F7"/>
    <w:rsid w:val="00BB116F"/>
    <w:rsid w:val="00BB4825"/>
    <w:rsid w:val="00BB66E6"/>
    <w:rsid w:val="00BB7996"/>
    <w:rsid w:val="00BC0CD5"/>
    <w:rsid w:val="00BC2C53"/>
    <w:rsid w:val="00BC2E77"/>
    <w:rsid w:val="00BC3046"/>
    <w:rsid w:val="00BC3739"/>
    <w:rsid w:val="00BD796C"/>
    <w:rsid w:val="00BE3422"/>
    <w:rsid w:val="00BE4855"/>
    <w:rsid w:val="00BE6E7D"/>
    <w:rsid w:val="00BF01EF"/>
    <w:rsid w:val="00BF18AD"/>
    <w:rsid w:val="00BF3F51"/>
    <w:rsid w:val="00BF4FF3"/>
    <w:rsid w:val="00BF651A"/>
    <w:rsid w:val="00BF6A94"/>
    <w:rsid w:val="00C00F7E"/>
    <w:rsid w:val="00C02694"/>
    <w:rsid w:val="00C028F5"/>
    <w:rsid w:val="00C02B28"/>
    <w:rsid w:val="00C0526D"/>
    <w:rsid w:val="00C0558C"/>
    <w:rsid w:val="00C05E13"/>
    <w:rsid w:val="00C1355C"/>
    <w:rsid w:val="00C1393E"/>
    <w:rsid w:val="00C1407D"/>
    <w:rsid w:val="00C16C7F"/>
    <w:rsid w:val="00C20E22"/>
    <w:rsid w:val="00C21AF2"/>
    <w:rsid w:val="00C21D3A"/>
    <w:rsid w:val="00C2436A"/>
    <w:rsid w:val="00C26263"/>
    <w:rsid w:val="00C27619"/>
    <w:rsid w:val="00C3375C"/>
    <w:rsid w:val="00C33C8F"/>
    <w:rsid w:val="00C3517E"/>
    <w:rsid w:val="00C36E0D"/>
    <w:rsid w:val="00C37144"/>
    <w:rsid w:val="00C4067D"/>
    <w:rsid w:val="00C40B81"/>
    <w:rsid w:val="00C41759"/>
    <w:rsid w:val="00C4221B"/>
    <w:rsid w:val="00C42EEF"/>
    <w:rsid w:val="00C43F63"/>
    <w:rsid w:val="00C46122"/>
    <w:rsid w:val="00C50D92"/>
    <w:rsid w:val="00C52478"/>
    <w:rsid w:val="00C5410A"/>
    <w:rsid w:val="00C54595"/>
    <w:rsid w:val="00C548CE"/>
    <w:rsid w:val="00C5663D"/>
    <w:rsid w:val="00C6293D"/>
    <w:rsid w:val="00C66396"/>
    <w:rsid w:val="00C66DA1"/>
    <w:rsid w:val="00C672F7"/>
    <w:rsid w:val="00C673BD"/>
    <w:rsid w:val="00C71DB2"/>
    <w:rsid w:val="00C71FB1"/>
    <w:rsid w:val="00C72D54"/>
    <w:rsid w:val="00C74931"/>
    <w:rsid w:val="00C75210"/>
    <w:rsid w:val="00C752FE"/>
    <w:rsid w:val="00C7754B"/>
    <w:rsid w:val="00C77DB7"/>
    <w:rsid w:val="00C80C1E"/>
    <w:rsid w:val="00C810CF"/>
    <w:rsid w:val="00C82D80"/>
    <w:rsid w:val="00C834A8"/>
    <w:rsid w:val="00C843B5"/>
    <w:rsid w:val="00C855C7"/>
    <w:rsid w:val="00C8681A"/>
    <w:rsid w:val="00C86E12"/>
    <w:rsid w:val="00C87D59"/>
    <w:rsid w:val="00C90970"/>
    <w:rsid w:val="00C935A0"/>
    <w:rsid w:val="00C94F8E"/>
    <w:rsid w:val="00C95DEB"/>
    <w:rsid w:val="00C975D7"/>
    <w:rsid w:val="00CA07E9"/>
    <w:rsid w:val="00CA1D1B"/>
    <w:rsid w:val="00CA1E2A"/>
    <w:rsid w:val="00CA2676"/>
    <w:rsid w:val="00CA3031"/>
    <w:rsid w:val="00CA4B50"/>
    <w:rsid w:val="00CA4E0C"/>
    <w:rsid w:val="00CA6321"/>
    <w:rsid w:val="00CB2737"/>
    <w:rsid w:val="00CB29ED"/>
    <w:rsid w:val="00CB3C84"/>
    <w:rsid w:val="00CB42C6"/>
    <w:rsid w:val="00CB6387"/>
    <w:rsid w:val="00CC008C"/>
    <w:rsid w:val="00CC0D66"/>
    <w:rsid w:val="00CC18A5"/>
    <w:rsid w:val="00CC216F"/>
    <w:rsid w:val="00CC7754"/>
    <w:rsid w:val="00CD0A84"/>
    <w:rsid w:val="00CD4F0D"/>
    <w:rsid w:val="00CD5375"/>
    <w:rsid w:val="00CE0AC0"/>
    <w:rsid w:val="00CE11E5"/>
    <w:rsid w:val="00CE43A3"/>
    <w:rsid w:val="00CE4C34"/>
    <w:rsid w:val="00CE76C7"/>
    <w:rsid w:val="00CF08E8"/>
    <w:rsid w:val="00CF0958"/>
    <w:rsid w:val="00CF32A8"/>
    <w:rsid w:val="00CF6286"/>
    <w:rsid w:val="00D03F9A"/>
    <w:rsid w:val="00D0592C"/>
    <w:rsid w:val="00D1314E"/>
    <w:rsid w:val="00D14ED9"/>
    <w:rsid w:val="00D1609E"/>
    <w:rsid w:val="00D162CD"/>
    <w:rsid w:val="00D17DE2"/>
    <w:rsid w:val="00D24FDE"/>
    <w:rsid w:val="00D2547F"/>
    <w:rsid w:val="00D25D1F"/>
    <w:rsid w:val="00D26F5B"/>
    <w:rsid w:val="00D27A89"/>
    <w:rsid w:val="00D31713"/>
    <w:rsid w:val="00D31A88"/>
    <w:rsid w:val="00D3508A"/>
    <w:rsid w:val="00D40B5B"/>
    <w:rsid w:val="00D468B5"/>
    <w:rsid w:val="00D51758"/>
    <w:rsid w:val="00D559D0"/>
    <w:rsid w:val="00D57790"/>
    <w:rsid w:val="00D57AB6"/>
    <w:rsid w:val="00D62F4B"/>
    <w:rsid w:val="00D64345"/>
    <w:rsid w:val="00D667A6"/>
    <w:rsid w:val="00D67957"/>
    <w:rsid w:val="00D7087F"/>
    <w:rsid w:val="00D73577"/>
    <w:rsid w:val="00D7762B"/>
    <w:rsid w:val="00D82C55"/>
    <w:rsid w:val="00D8420C"/>
    <w:rsid w:val="00D85C20"/>
    <w:rsid w:val="00D8675A"/>
    <w:rsid w:val="00D86823"/>
    <w:rsid w:val="00D915D9"/>
    <w:rsid w:val="00D916C8"/>
    <w:rsid w:val="00D9267D"/>
    <w:rsid w:val="00DA296E"/>
    <w:rsid w:val="00DA5DCC"/>
    <w:rsid w:val="00DA694C"/>
    <w:rsid w:val="00DB1B13"/>
    <w:rsid w:val="00DB1F69"/>
    <w:rsid w:val="00DB227A"/>
    <w:rsid w:val="00DB37A1"/>
    <w:rsid w:val="00DB6D33"/>
    <w:rsid w:val="00DB7CDE"/>
    <w:rsid w:val="00DC0B8F"/>
    <w:rsid w:val="00DC1E4A"/>
    <w:rsid w:val="00DC4224"/>
    <w:rsid w:val="00DC5B9A"/>
    <w:rsid w:val="00DC781E"/>
    <w:rsid w:val="00DD0686"/>
    <w:rsid w:val="00DD079E"/>
    <w:rsid w:val="00DD2470"/>
    <w:rsid w:val="00DD25C3"/>
    <w:rsid w:val="00DD3802"/>
    <w:rsid w:val="00DD4033"/>
    <w:rsid w:val="00DD4DE6"/>
    <w:rsid w:val="00DD6627"/>
    <w:rsid w:val="00DD7679"/>
    <w:rsid w:val="00DD7ABC"/>
    <w:rsid w:val="00DE19FB"/>
    <w:rsid w:val="00DE3A18"/>
    <w:rsid w:val="00DF18B3"/>
    <w:rsid w:val="00DF248C"/>
    <w:rsid w:val="00DF25BC"/>
    <w:rsid w:val="00DF43E9"/>
    <w:rsid w:val="00DF50AF"/>
    <w:rsid w:val="00E00BFF"/>
    <w:rsid w:val="00E0435D"/>
    <w:rsid w:val="00E0452D"/>
    <w:rsid w:val="00E06676"/>
    <w:rsid w:val="00E07812"/>
    <w:rsid w:val="00E07866"/>
    <w:rsid w:val="00E100CE"/>
    <w:rsid w:val="00E1168B"/>
    <w:rsid w:val="00E12C21"/>
    <w:rsid w:val="00E15AD0"/>
    <w:rsid w:val="00E16316"/>
    <w:rsid w:val="00E16CDF"/>
    <w:rsid w:val="00E1720D"/>
    <w:rsid w:val="00E206CC"/>
    <w:rsid w:val="00E21277"/>
    <w:rsid w:val="00E24F06"/>
    <w:rsid w:val="00E2500E"/>
    <w:rsid w:val="00E25567"/>
    <w:rsid w:val="00E25B24"/>
    <w:rsid w:val="00E25D29"/>
    <w:rsid w:val="00E30907"/>
    <w:rsid w:val="00E32664"/>
    <w:rsid w:val="00E341EC"/>
    <w:rsid w:val="00E34355"/>
    <w:rsid w:val="00E34D07"/>
    <w:rsid w:val="00E3523E"/>
    <w:rsid w:val="00E40DCC"/>
    <w:rsid w:val="00E410AA"/>
    <w:rsid w:val="00E4230D"/>
    <w:rsid w:val="00E44933"/>
    <w:rsid w:val="00E45BFC"/>
    <w:rsid w:val="00E46F95"/>
    <w:rsid w:val="00E47300"/>
    <w:rsid w:val="00E503A9"/>
    <w:rsid w:val="00E515BE"/>
    <w:rsid w:val="00E51611"/>
    <w:rsid w:val="00E51E69"/>
    <w:rsid w:val="00E544AA"/>
    <w:rsid w:val="00E57DAC"/>
    <w:rsid w:val="00E60C79"/>
    <w:rsid w:val="00E61895"/>
    <w:rsid w:val="00E63A75"/>
    <w:rsid w:val="00E64FB9"/>
    <w:rsid w:val="00E66A6C"/>
    <w:rsid w:val="00E73B43"/>
    <w:rsid w:val="00E73F99"/>
    <w:rsid w:val="00E743DA"/>
    <w:rsid w:val="00E76AAF"/>
    <w:rsid w:val="00E77A04"/>
    <w:rsid w:val="00E8006F"/>
    <w:rsid w:val="00E83E38"/>
    <w:rsid w:val="00E84360"/>
    <w:rsid w:val="00E84A2E"/>
    <w:rsid w:val="00E92228"/>
    <w:rsid w:val="00E958FD"/>
    <w:rsid w:val="00E95B7E"/>
    <w:rsid w:val="00E95D7C"/>
    <w:rsid w:val="00EA13B1"/>
    <w:rsid w:val="00EA2661"/>
    <w:rsid w:val="00EA2852"/>
    <w:rsid w:val="00EA3347"/>
    <w:rsid w:val="00EA3FFD"/>
    <w:rsid w:val="00EB0FFD"/>
    <w:rsid w:val="00EB1121"/>
    <w:rsid w:val="00EB1990"/>
    <w:rsid w:val="00EB39F4"/>
    <w:rsid w:val="00EB624C"/>
    <w:rsid w:val="00EB68EF"/>
    <w:rsid w:val="00EB766A"/>
    <w:rsid w:val="00EC0633"/>
    <w:rsid w:val="00EC0CC1"/>
    <w:rsid w:val="00EC18F1"/>
    <w:rsid w:val="00EC23FE"/>
    <w:rsid w:val="00EC3192"/>
    <w:rsid w:val="00EC501E"/>
    <w:rsid w:val="00EC5E1B"/>
    <w:rsid w:val="00ED3856"/>
    <w:rsid w:val="00ED5C55"/>
    <w:rsid w:val="00EE0E10"/>
    <w:rsid w:val="00EE1650"/>
    <w:rsid w:val="00EE3BEB"/>
    <w:rsid w:val="00EE5743"/>
    <w:rsid w:val="00EF0EAF"/>
    <w:rsid w:val="00EF10D6"/>
    <w:rsid w:val="00EF2348"/>
    <w:rsid w:val="00EF3F8E"/>
    <w:rsid w:val="00EF568B"/>
    <w:rsid w:val="00EF7E69"/>
    <w:rsid w:val="00F007CA"/>
    <w:rsid w:val="00F01472"/>
    <w:rsid w:val="00F0236F"/>
    <w:rsid w:val="00F03AFE"/>
    <w:rsid w:val="00F05AE3"/>
    <w:rsid w:val="00F0700E"/>
    <w:rsid w:val="00F07474"/>
    <w:rsid w:val="00F0772E"/>
    <w:rsid w:val="00F1146B"/>
    <w:rsid w:val="00F12C5D"/>
    <w:rsid w:val="00F1408C"/>
    <w:rsid w:val="00F1469A"/>
    <w:rsid w:val="00F148B5"/>
    <w:rsid w:val="00F14EAB"/>
    <w:rsid w:val="00F17419"/>
    <w:rsid w:val="00F179F4"/>
    <w:rsid w:val="00F17F9D"/>
    <w:rsid w:val="00F22752"/>
    <w:rsid w:val="00F228BF"/>
    <w:rsid w:val="00F24734"/>
    <w:rsid w:val="00F2487D"/>
    <w:rsid w:val="00F26171"/>
    <w:rsid w:val="00F26177"/>
    <w:rsid w:val="00F26E37"/>
    <w:rsid w:val="00F27451"/>
    <w:rsid w:val="00F33BDE"/>
    <w:rsid w:val="00F34D33"/>
    <w:rsid w:val="00F379D9"/>
    <w:rsid w:val="00F40B1F"/>
    <w:rsid w:val="00F43602"/>
    <w:rsid w:val="00F47E5B"/>
    <w:rsid w:val="00F54556"/>
    <w:rsid w:val="00F55401"/>
    <w:rsid w:val="00F566F9"/>
    <w:rsid w:val="00F61B62"/>
    <w:rsid w:val="00F63EE9"/>
    <w:rsid w:val="00F66161"/>
    <w:rsid w:val="00F701E2"/>
    <w:rsid w:val="00F71815"/>
    <w:rsid w:val="00F71DF3"/>
    <w:rsid w:val="00F760A3"/>
    <w:rsid w:val="00F76191"/>
    <w:rsid w:val="00F76D07"/>
    <w:rsid w:val="00F775D4"/>
    <w:rsid w:val="00F80AB2"/>
    <w:rsid w:val="00F80CB0"/>
    <w:rsid w:val="00F82B57"/>
    <w:rsid w:val="00F833F9"/>
    <w:rsid w:val="00F86519"/>
    <w:rsid w:val="00F8674A"/>
    <w:rsid w:val="00F877F5"/>
    <w:rsid w:val="00F87C2F"/>
    <w:rsid w:val="00F90625"/>
    <w:rsid w:val="00F94286"/>
    <w:rsid w:val="00F946FC"/>
    <w:rsid w:val="00F95E21"/>
    <w:rsid w:val="00FA204E"/>
    <w:rsid w:val="00FA3B7C"/>
    <w:rsid w:val="00FA4456"/>
    <w:rsid w:val="00FA597E"/>
    <w:rsid w:val="00FA75DD"/>
    <w:rsid w:val="00FB01CA"/>
    <w:rsid w:val="00FB1A8B"/>
    <w:rsid w:val="00FB7337"/>
    <w:rsid w:val="00FC10D0"/>
    <w:rsid w:val="00FC2F09"/>
    <w:rsid w:val="00FC3E0B"/>
    <w:rsid w:val="00FC5518"/>
    <w:rsid w:val="00FC7EAB"/>
    <w:rsid w:val="00FD30E2"/>
    <w:rsid w:val="00FD4FB4"/>
    <w:rsid w:val="00FD6383"/>
    <w:rsid w:val="00FD64E6"/>
    <w:rsid w:val="00FD74BB"/>
    <w:rsid w:val="00FE0414"/>
    <w:rsid w:val="00FE15F3"/>
    <w:rsid w:val="00FE1ABB"/>
    <w:rsid w:val="00FE6A09"/>
    <w:rsid w:val="00FE708A"/>
    <w:rsid w:val="00FF0337"/>
    <w:rsid w:val="00FF3BFD"/>
    <w:rsid w:val="00FF4346"/>
    <w:rsid w:val="00FF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255A2A41"/>
  <w15:docId w15:val="{3ABC7A48-8BDB-4068-8037-D2C52F20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17205"/>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151D"/>
    <w:rPr>
      <w:color w:val="0000FF" w:themeColor="hyperlink"/>
      <w:u w:val="single"/>
    </w:rPr>
  </w:style>
  <w:style w:type="paragraph" w:styleId="Caption">
    <w:name w:val="caption"/>
    <w:basedOn w:val="Normal"/>
    <w:next w:val="Normal"/>
    <w:uiPriority w:val="35"/>
    <w:semiHidden/>
    <w:unhideWhenUsed/>
    <w:qFormat/>
    <w:rsid w:val="00A52C1D"/>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A52C1D"/>
    <w:pPr>
      <w:spacing w:after="0"/>
    </w:pPr>
  </w:style>
  <w:style w:type="paragraph" w:styleId="ListBullet">
    <w:name w:val="List Bullet"/>
    <w:basedOn w:val="Normal"/>
    <w:uiPriority w:val="99"/>
    <w:semiHidden/>
    <w:unhideWhenUsed/>
    <w:rsid w:val="00A52C1D"/>
    <w:pPr>
      <w:numPr>
        <w:numId w:val="1"/>
      </w:numPr>
      <w:contextualSpacing/>
    </w:pPr>
  </w:style>
  <w:style w:type="paragraph" w:styleId="ListBullet2">
    <w:name w:val="List Bullet 2"/>
    <w:basedOn w:val="Normal"/>
    <w:uiPriority w:val="99"/>
    <w:semiHidden/>
    <w:unhideWhenUsed/>
    <w:rsid w:val="00A52C1D"/>
    <w:pPr>
      <w:numPr>
        <w:numId w:val="2"/>
      </w:numPr>
      <w:contextualSpacing/>
    </w:pPr>
  </w:style>
  <w:style w:type="paragraph" w:styleId="ListBullet3">
    <w:name w:val="List Bullet 3"/>
    <w:basedOn w:val="Normal"/>
    <w:uiPriority w:val="99"/>
    <w:semiHidden/>
    <w:unhideWhenUsed/>
    <w:rsid w:val="00A52C1D"/>
    <w:pPr>
      <w:numPr>
        <w:numId w:val="3"/>
      </w:numPr>
      <w:contextualSpacing/>
    </w:pPr>
  </w:style>
  <w:style w:type="paragraph" w:styleId="ListBullet4">
    <w:name w:val="List Bullet 4"/>
    <w:basedOn w:val="Normal"/>
    <w:uiPriority w:val="99"/>
    <w:semiHidden/>
    <w:unhideWhenUsed/>
    <w:rsid w:val="00A52C1D"/>
    <w:pPr>
      <w:numPr>
        <w:numId w:val="4"/>
      </w:numPr>
      <w:contextualSpacing/>
    </w:pPr>
  </w:style>
  <w:style w:type="paragraph" w:styleId="ListNumber">
    <w:name w:val="List Number"/>
    <w:basedOn w:val="Normal"/>
    <w:uiPriority w:val="99"/>
    <w:semiHidden/>
    <w:unhideWhenUsed/>
    <w:rsid w:val="00A52C1D"/>
    <w:pPr>
      <w:numPr>
        <w:numId w:val="5"/>
      </w:numPr>
      <w:contextualSpacing/>
    </w:pPr>
  </w:style>
  <w:style w:type="paragraph" w:styleId="ListNumber2">
    <w:name w:val="List Number 2"/>
    <w:basedOn w:val="Normal"/>
    <w:uiPriority w:val="99"/>
    <w:semiHidden/>
    <w:unhideWhenUsed/>
    <w:rsid w:val="00A52C1D"/>
    <w:pPr>
      <w:numPr>
        <w:numId w:val="6"/>
      </w:numPr>
      <w:contextualSpacing/>
    </w:pPr>
  </w:style>
  <w:style w:type="paragraph" w:styleId="ListNumber3">
    <w:name w:val="List Number 3"/>
    <w:basedOn w:val="Normal"/>
    <w:uiPriority w:val="99"/>
    <w:semiHidden/>
    <w:unhideWhenUsed/>
    <w:rsid w:val="00A52C1D"/>
    <w:pPr>
      <w:numPr>
        <w:numId w:val="7"/>
      </w:numPr>
      <w:contextualSpacing/>
    </w:pPr>
  </w:style>
  <w:style w:type="paragraph" w:styleId="ListNumber4">
    <w:name w:val="List Number 4"/>
    <w:basedOn w:val="Normal"/>
    <w:uiPriority w:val="99"/>
    <w:semiHidden/>
    <w:unhideWhenUsed/>
    <w:rsid w:val="00A52C1D"/>
    <w:pPr>
      <w:numPr>
        <w:numId w:val="8"/>
      </w:numPr>
      <w:contextualSpacing/>
    </w:pPr>
  </w:style>
  <w:style w:type="character" w:styleId="CommentReference">
    <w:name w:val="annotation reference"/>
    <w:basedOn w:val="DefaultParagraphFont"/>
    <w:uiPriority w:val="99"/>
    <w:semiHidden/>
    <w:unhideWhenUsed/>
    <w:rsid w:val="003D7731"/>
    <w:rPr>
      <w:sz w:val="16"/>
      <w:szCs w:val="16"/>
    </w:rPr>
  </w:style>
  <w:style w:type="paragraph" w:styleId="CommentText">
    <w:name w:val="annotation text"/>
    <w:basedOn w:val="Normal"/>
    <w:link w:val="CommentTextChar"/>
    <w:uiPriority w:val="99"/>
    <w:unhideWhenUsed/>
    <w:rsid w:val="003D7731"/>
    <w:rPr>
      <w:sz w:val="20"/>
      <w:szCs w:val="20"/>
    </w:rPr>
  </w:style>
  <w:style w:type="character" w:customStyle="1" w:styleId="CommentTextChar">
    <w:name w:val="Comment Text Char"/>
    <w:basedOn w:val="DefaultParagraphFont"/>
    <w:link w:val="CommentText"/>
    <w:uiPriority w:val="99"/>
    <w:rsid w:val="003D773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D7731"/>
    <w:rPr>
      <w:b/>
      <w:bCs/>
    </w:rPr>
  </w:style>
  <w:style w:type="character" w:customStyle="1" w:styleId="CommentSubjectChar">
    <w:name w:val="Comment Subject Char"/>
    <w:basedOn w:val="CommentTextChar"/>
    <w:link w:val="CommentSubject"/>
    <w:uiPriority w:val="99"/>
    <w:semiHidden/>
    <w:rsid w:val="003D773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D77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731"/>
    <w:rPr>
      <w:rFonts w:ascii="Tahoma" w:hAnsi="Tahoma" w:cs="Tahoma"/>
      <w:sz w:val="16"/>
      <w:szCs w:val="16"/>
      <w:lang w:val="en-GB"/>
    </w:rPr>
  </w:style>
  <w:style w:type="character" w:styleId="FollowedHyperlink">
    <w:name w:val="FollowedHyperlink"/>
    <w:basedOn w:val="DefaultParagraphFont"/>
    <w:uiPriority w:val="99"/>
    <w:semiHidden/>
    <w:unhideWhenUsed/>
    <w:rsid w:val="008601BE"/>
    <w:rPr>
      <w:color w:val="800080" w:themeColor="followedHyperlink"/>
      <w:u w:val="single"/>
    </w:rPr>
  </w:style>
  <w:style w:type="paragraph" w:styleId="Revision">
    <w:name w:val="Revision"/>
    <w:hidden/>
    <w:uiPriority w:val="99"/>
    <w:semiHidden/>
    <w:rsid w:val="00CA2676"/>
    <w:pPr>
      <w:spacing w:after="0" w:line="240" w:lineRule="auto"/>
    </w:pPr>
    <w:rPr>
      <w:rFonts w:ascii="Times New Roman" w:hAnsi="Times New Roman" w:cs="Times New Roman"/>
      <w:sz w:val="24"/>
      <w:lang w:val="en-GB"/>
    </w:rPr>
  </w:style>
  <w:style w:type="paragraph" w:customStyle="1" w:styleId="ListDash">
    <w:name w:val="List Dash"/>
    <w:basedOn w:val="Normal"/>
    <w:rsid w:val="00BB4825"/>
    <w:pPr>
      <w:numPr>
        <w:numId w:val="10"/>
      </w:numPr>
      <w:spacing w:before="0" w:after="240"/>
    </w:pPr>
    <w:rPr>
      <w:rFonts w:eastAsia="Times New Roman"/>
      <w:szCs w:val="20"/>
    </w:rPr>
  </w:style>
  <w:style w:type="paragraph" w:customStyle="1" w:styleId="LegalNumPar">
    <w:name w:val="LegalNumPar"/>
    <w:basedOn w:val="Normal"/>
    <w:rsid w:val="00BB4825"/>
    <w:pPr>
      <w:numPr>
        <w:numId w:val="11"/>
      </w:numPr>
      <w:spacing w:before="0" w:after="240"/>
    </w:pPr>
    <w:rPr>
      <w:rFonts w:eastAsia="Times New Roman"/>
      <w:szCs w:val="20"/>
    </w:rPr>
  </w:style>
  <w:style w:type="paragraph" w:styleId="BodyText">
    <w:name w:val="Body Text"/>
    <w:aliases w:val="Text"/>
    <w:basedOn w:val="Normal"/>
    <w:link w:val="BodyTextChar"/>
    <w:uiPriority w:val="99"/>
    <w:rsid w:val="0046782C"/>
    <w:pPr>
      <w:widowControl w:val="0"/>
      <w:spacing w:before="0" w:after="240"/>
      <w:jc w:val="left"/>
    </w:pPr>
    <w:rPr>
      <w:rFonts w:ascii="Verdana" w:eastAsia="Times New Roman" w:hAnsi="Verdana"/>
      <w:snapToGrid w:val="0"/>
      <w:sz w:val="20"/>
      <w:szCs w:val="20"/>
      <w:lang w:eastAsia="fi-FI"/>
    </w:rPr>
  </w:style>
  <w:style w:type="character" w:customStyle="1" w:styleId="BodyTextChar">
    <w:name w:val="Body Text Char"/>
    <w:aliases w:val="Text Char"/>
    <w:basedOn w:val="DefaultParagraphFont"/>
    <w:link w:val="BodyText"/>
    <w:uiPriority w:val="99"/>
    <w:rsid w:val="0046782C"/>
    <w:rPr>
      <w:rFonts w:ascii="Verdana" w:eastAsia="Times New Roman" w:hAnsi="Verdana" w:cs="Times New Roman"/>
      <w:snapToGrid w:val="0"/>
      <w:sz w:val="20"/>
      <w:szCs w:val="20"/>
      <w:lang w:val="en-GB" w:eastAsia="fi-FI"/>
    </w:rPr>
  </w:style>
  <w:style w:type="paragraph" w:styleId="Header">
    <w:name w:val="header"/>
    <w:basedOn w:val="Normal"/>
    <w:link w:val="HeaderChar"/>
    <w:uiPriority w:val="99"/>
    <w:semiHidden/>
    <w:unhideWhenUsed/>
    <w:rsid w:val="00517205"/>
    <w:pPr>
      <w:tabs>
        <w:tab w:val="center" w:pos="4535"/>
        <w:tab w:val="right" w:pos="9071"/>
      </w:tabs>
      <w:spacing w:before="0"/>
    </w:pPr>
  </w:style>
  <w:style w:type="character" w:customStyle="1" w:styleId="HeaderChar">
    <w:name w:val="Header Char"/>
    <w:basedOn w:val="DefaultParagraphFont"/>
    <w:link w:val="Header"/>
    <w:uiPriority w:val="99"/>
    <w:semiHidden/>
    <w:rsid w:val="00517205"/>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51720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517205"/>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517205"/>
    <w:pPr>
      <w:tabs>
        <w:tab w:val="center" w:pos="7285"/>
        <w:tab w:val="right" w:pos="14003"/>
      </w:tabs>
      <w:spacing w:before="0"/>
    </w:pPr>
  </w:style>
  <w:style w:type="paragraph" w:customStyle="1" w:styleId="FooterLandscape">
    <w:name w:val="FooterLandscape"/>
    <w:basedOn w:val="Normal"/>
    <w:rsid w:val="0051720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51720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517205"/>
    <w:pPr>
      <w:spacing w:before="0"/>
      <w:jc w:val="right"/>
    </w:pPr>
    <w:rPr>
      <w:sz w:val="28"/>
    </w:rPr>
  </w:style>
  <w:style w:type="paragraph" w:customStyle="1" w:styleId="FooterSensitivity">
    <w:name w:val="Footer Sensitivity"/>
    <w:basedOn w:val="Normal"/>
    <w:rsid w:val="0051720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7"/>
      </w:numPr>
    </w:pPr>
  </w:style>
  <w:style w:type="paragraph" w:customStyle="1" w:styleId="Tiret1">
    <w:name w:val="Tiret 1"/>
    <w:basedOn w:val="Point1"/>
    <w:rsid w:val="00517205"/>
    <w:pPr>
      <w:numPr>
        <w:numId w:val="28"/>
      </w:numPr>
    </w:pPr>
  </w:style>
  <w:style w:type="paragraph" w:customStyle="1" w:styleId="Tiret2">
    <w:name w:val="Tiret 2"/>
    <w:basedOn w:val="Point2"/>
    <w:rsid w:val="00517205"/>
    <w:pPr>
      <w:numPr>
        <w:numId w:val="29"/>
      </w:numPr>
    </w:pPr>
  </w:style>
  <w:style w:type="paragraph" w:customStyle="1" w:styleId="Tiret3">
    <w:name w:val="Tiret 3"/>
    <w:basedOn w:val="Point3"/>
    <w:rsid w:val="00517205"/>
    <w:pPr>
      <w:numPr>
        <w:numId w:val="30"/>
      </w:numPr>
    </w:pPr>
  </w:style>
  <w:style w:type="paragraph" w:customStyle="1" w:styleId="Tiret4">
    <w:name w:val="Tiret 4"/>
    <w:basedOn w:val="Point4"/>
    <w:rsid w:val="00517205"/>
    <w:pPr>
      <w:numPr>
        <w:numId w:val="31"/>
      </w:numPr>
    </w:pPr>
  </w:style>
  <w:style w:type="paragraph" w:customStyle="1" w:styleId="Tiret5">
    <w:name w:val="Tiret 5"/>
    <w:basedOn w:val="Point5"/>
    <w:rsid w:val="00517205"/>
    <w:pPr>
      <w:numPr>
        <w:numId w:val="32"/>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3"/>
      </w:numPr>
    </w:pPr>
  </w:style>
  <w:style w:type="paragraph" w:customStyle="1" w:styleId="NumPar2">
    <w:name w:val="NumPar 2"/>
    <w:basedOn w:val="Normal"/>
    <w:next w:val="Text1"/>
    <w:rsid w:val="00517205"/>
    <w:pPr>
      <w:numPr>
        <w:ilvl w:val="1"/>
        <w:numId w:val="33"/>
      </w:numPr>
    </w:pPr>
  </w:style>
  <w:style w:type="paragraph" w:customStyle="1" w:styleId="NumPar3">
    <w:name w:val="NumPar 3"/>
    <w:basedOn w:val="Normal"/>
    <w:next w:val="Text1"/>
    <w:rsid w:val="00517205"/>
    <w:pPr>
      <w:numPr>
        <w:ilvl w:val="2"/>
        <w:numId w:val="33"/>
      </w:numPr>
    </w:pPr>
  </w:style>
  <w:style w:type="paragraph" w:customStyle="1" w:styleId="NumPar4">
    <w:name w:val="NumPar 4"/>
    <w:basedOn w:val="Normal"/>
    <w:next w:val="Text1"/>
    <w:rsid w:val="00517205"/>
    <w:pPr>
      <w:numPr>
        <w:ilvl w:val="3"/>
        <w:numId w:val="33"/>
      </w:numPr>
    </w:pPr>
  </w:style>
  <w:style w:type="paragraph" w:customStyle="1" w:styleId="NumPar5">
    <w:name w:val="NumPar 5"/>
    <w:basedOn w:val="Normal"/>
    <w:next w:val="Text2"/>
    <w:rsid w:val="00517205"/>
    <w:pPr>
      <w:numPr>
        <w:ilvl w:val="4"/>
        <w:numId w:val="33"/>
      </w:numPr>
    </w:pPr>
  </w:style>
  <w:style w:type="paragraph" w:customStyle="1" w:styleId="NumPar6">
    <w:name w:val="NumPar 6"/>
    <w:basedOn w:val="Normal"/>
    <w:next w:val="Text2"/>
    <w:rsid w:val="00517205"/>
    <w:pPr>
      <w:numPr>
        <w:ilvl w:val="5"/>
        <w:numId w:val="33"/>
      </w:numPr>
    </w:pPr>
  </w:style>
  <w:style w:type="paragraph" w:customStyle="1" w:styleId="NumPar7">
    <w:name w:val="NumPar 7"/>
    <w:basedOn w:val="Normal"/>
    <w:next w:val="Text2"/>
    <w:rsid w:val="00517205"/>
    <w:pPr>
      <w:numPr>
        <w:ilvl w:val="6"/>
        <w:numId w:val="33"/>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5"/>
      </w:numPr>
    </w:pPr>
  </w:style>
  <w:style w:type="paragraph" w:customStyle="1" w:styleId="Point1number">
    <w:name w:val="Point 1 (number)"/>
    <w:basedOn w:val="Normal"/>
    <w:rsid w:val="00517205"/>
    <w:pPr>
      <w:numPr>
        <w:ilvl w:val="2"/>
        <w:numId w:val="35"/>
      </w:numPr>
    </w:pPr>
  </w:style>
  <w:style w:type="paragraph" w:customStyle="1" w:styleId="Point2number">
    <w:name w:val="Point 2 (number)"/>
    <w:basedOn w:val="Normal"/>
    <w:rsid w:val="00517205"/>
    <w:pPr>
      <w:numPr>
        <w:ilvl w:val="4"/>
        <w:numId w:val="35"/>
      </w:numPr>
    </w:pPr>
  </w:style>
  <w:style w:type="paragraph" w:customStyle="1" w:styleId="Point3number">
    <w:name w:val="Point 3 (number)"/>
    <w:basedOn w:val="Normal"/>
    <w:rsid w:val="00517205"/>
    <w:pPr>
      <w:numPr>
        <w:ilvl w:val="6"/>
        <w:numId w:val="35"/>
      </w:numPr>
    </w:pPr>
  </w:style>
  <w:style w:type="paragraph" w:customStyle="1" w:styleId="Point0letter">
    <w:name w:val="Point 0 (letter)"/>
    <w:basedOn w:val="Normal"/>
    <w:rsid w:val="00517205"/>
    <w:pPr>
      <w:numPr>
        <w:ilvl w:val="1"/>
        <w:numId w:val="35"/>
      </w:numPr>
    </w:pPr>
  </w:style>
  <w:style w:type="paragraph" w:customStyle="1" w:styleId="Point1letter">
    <w:name w:val="Point 1 (letter)"/>
    <w:basedOn w:val="Normal"/>
    <w:rsid w:val="00517205"/>
    <w:pPr>
      <w:numPr>
        <w:ilvl w:val="3"/>
        <w:numId w:val="35"/>
      </w:numPr>
    </w:pPr>
  </w:style>
  <w:style w:type="paragraph" w:customStyle="1" w:styleId="Point2letter">
    <w:name w:val="Point 2 (letter)"/>
    <w:basedOn w:val="Normal"/>
    <w:rsid w:val="00517205"/>
    <w:pPr>
      <w:numPr>
        <w:ilvl w:val="5"/>
        <w:numId w:val="35"/>
      </w:numPr>
    </w:pPr>
  </w:style>
  <w:style w:type="paragraph" w:customStyle="1" w:styleId="Point3letter">
    <w:name w:val="Point 3 (letter)"/>
    <w:basedOn w:val="Normal"/>
    <w:rsid w:val="00517205"/>
    <w:pPr>
      <w:numPr>
        <w:ilvl w:val="7"/>
        <w:numId w:val="35"/>
      </w:numPr>
    </w:pPr>
  </w:style>
  <w:style w:type="paragraph" w:customStyle="1" w:styleId="Point4letter">
    <w:name w:val="Point 4 (letter)"/>
    <w:basedOn w:val="Normal"/>
    <w:rsid w:val="00517205"/>
    <w:pPr>
      <w:numPr>
        <w:ilvl w:val="8"/>
        <w:numId w:val="35"/>
      </w:numPr>
    </w:pPr>
  </w:style>
  <w:style w:type="paragraph" w:customStyle="1" w:styleId="Bullet0">
    <w:name w:val="Bullet 0"/>
    <w:basedOn w:val="Normal"/>
    <w:rsid w:val="00517205"/>
    <w:pPr>
      <w:numPr>
        <w:numId w:val="36"/>
      </w:numPr>
    </w:pPr>
  </w:style>
  <w:style w:type="paragraph" w:customStyle="1" w:styleId="Bullet1">
    <w:name w:val="Bullet 1"/>
    <w:basedOn w:val="Normal"/>
    <w:rsid w:val="00517205"/>
    <w:pPr>
      <w:numPr>
        <w:numId w:val="37"/>
      </w:numPr>
    </w:pPr>
  </w:style>
  <w:style w:type="paragraph" w:customStyle="1" w:styleId="Bullet2">
    <w:name w:val="Bullet 2"/>
    <w:basedOn w:val="Normal"/>
    <w:rsid w:val="00517205"/>
    <w:pPr>
      <w:numPr>
        <w:numId w:val="38"/>
      </w:numPr>
    </w:pPr>
  </w:style>
  <w:style w:type="paragraph" w:customStyle="1" w:styleId="Bullet3">
    <w:name w:val="Bullet 3"/>
    <w:basedOn w:val="Normal"/>
    <w:rsid w:val="00517205"/>
    <w:pPr>
      <w:numPr>
        <w:numId w:val="39"/>
      </w:numPr>
    </w:pPr>
  </w:style>
  <w:style w:type="paragraph" w:customStyle="1" w:styleId="Bullet4">
    <w:name w:val="Bullet 4"/>
    <w:basedOn w:val="Normal"/>
    <w:rsid w:val="00517205"/>
    <w:pPr>
      <w:numPr>
        <w:numId w:val="40"/>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1"/>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5226">
      <w:bodyDiv w:val="1"/>
      <w:marLeft w:val="0"/>
      <w:marRight w:val="0"/>
      <w:marTop w:val="0"/>
      <w:marBottom w:val="0"/>
      <w:divBdr>
        <w:top w:val="none" w:sz="0" w:space="0" w:color="auto"/>
        <w:left w:val="none" w:sz="0" w:space="0" w:color="auto"/>
        <w:bottom w:val="none" w:sz="0" w:space="0" w:color="auto"/>
        <w:right w:val="none" w:sz="0" w:space="0" w:color="auto"/>
      </w:divBdr>
    </w:div>
    <w:div w:id="556666442">
      <w:bodyDiv w:val="1"/>
      <w:marLeft w:val="0"/>
      <w:marRight w:val="0"/>
      <w:marTop w:val="0"/>
      <w:marBottom w:val="0"/>
      <w:divBdr>
        <w:top w:val="none" w:sz="0" w:space="0" w:color="auto"/>
        <w:left w:val="none" w:sz="0" w:space="0" w:color="auto"/>
        <w:bottom w:val="none" w:sz="0" w:space="0" w:color="auto"/>
        <w:right w:val="none" w:sz="0" w:space="0" w:color="auto"/>
      </w:divBdr>
    </w:div>
    <w:div w:id="982809928">
      <w:bodyDiv w:val="1"/>
      <w:marLeft w:val="0"/>
      <w:marRight w:val="0"/>
      <w:marTop w:val="0"/>
      <w:marBottom w:val="0"/>
      <w:divBdr>
        <w:top w:val="none" w:sz="0" w:space="0" w:color="auto"/>
        <w:left w:val="none" w:sz="0" w:space="0" w:color="auto"/>
        <w:bottom w:val="none" w:sz="0" w:space="0" w:color="auto"/>
        <w:right w:val="none" w:sz="0" w:space="0" w:color="auto"/>
      </w:divBdr>
    </w:div>
    <w:div w:id="1074545745">
      <w:bodyDiv w:val="1"/>
      <w:marLeft w:val="0"/>
      <w:marRight w:val="0"/>
      <w:marTop w:val="0"/>
      <w:marBottom w:val="0"/>
      <w:divBdr>
        <w:top w:val="none" w:sz="0" w:space="0" w:color="auto"/>
        <w:left w:val="none" w:sz="0" w:space="0" w:color="auto"/>
        <w:bottom w:val="none" w:sz="0" w:space="0" w:color="auto"/>
        <w:right w:val="none" w:sz="0" w:space="0" w:color="auto"/>
      </w:divBdr>
    </w:div>
    <w:div w:id="1116489942">
      <w:bodyDiv w:val="1"/>
      <w:marLeft w:val="0"/>
      <w:marRight w:val="0"/>
      <w:marTop w:val="0"/>
      <w:marBottom w:val="0"/>
      <w:divBdr>
        <w:top w:val="none" w:sz="0" w:space="0" w:color="auto"/>
        <w:left w:val="none" w:sz="0" w:space="0" w:color="auto"/>
        <w:bottom w:val="none" w:sz="0" w:space="0" w:color="auto"/>
        <w:right w:val="none" w:sz="0" w:space="0" w:color="auto"/>
      </w:divBdr>
    </w:div>
    <w:div w:id="1396314300">
      <w:bodyDiv w:val="1"/>
      <w:marLeft w:val="0"/>
      <w:marRight w:val="0"/>
      <w:marTop w:val="0"/>
      <w:marBottom w:val="0"/>
      <w:divBdr>
        <w:top w:val="none" w:sz="0" w:space="0" w:color="auto"/>
        <w:left w:val="none" w:sz="0" w:space="0" w:color="auto"/>
        <w:bottom w:val="none" w:sz="0" w:space="0" w:color="auto"/>
        <w:right w:val="none" w:sz="0" w:space="0" w:color="auto"/>
      </w:divBdr>
    </w:div>
    <w:div w:id="15707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ha.europa.eu/documents/10162/f10b57af-6075-bb34-2b30-4e0651d0b52f" TargetMode="External"/><Relationship Id="rId1" Type="http://schemas.openxmlformats.org/officeDocument/2006/relationships/hyperlink" Target="https://echa.europa.eu/registry-of-restriction-intentions/-/dislist/details/0b0236e18243947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CHA Process Document" ma:contentTypeID="0x010100B558917389A54ADDB58930FBD7E6FD57008586DED9191B4C4CBD31A5DF7F304A710015A39CDAD533EF46BCDBF4014DA9C42C" ma:contentTypeVersion="13" ma:contentTypeDescription="Content type for ECHA process documents" ma:contentTypeScope="" ma:versionID="d7f601b610f65b34277a60b9e0dd1058">
  <xsd:schema xmlns:xsd="http://www.w3.org/2001/XMLSchema" xmlns:xs="http://www.w3.org/2001/XMLSchema" xmlns:p="http://schemas.microsoft.com/office/2006/metadata/properties" xmlns:ns2="4811b924-dee2-413a-bdc8-2cc023473c17" xmlns:ns3="5bcca709-0b09-4b74-bfa0-2137a84c1763" xmlns:ns4="d80dd6ab-43bf-4d9d-bb1e-742532452846" xmlns:ns5="b80ede5c-af4c-4bf2-9a87-706a3579dc11" targetNamespace="http://schemas.microsoft.com/office/2006/metadata/properties" ma:root="true" ma:fieldsID="dab586716213eddf6574709267ce6338" ns2:_="" ns3:_="" ns4:_="" ns5:_="">
    <xsd:import namespace="4811b924-dee2-413a-bdc8-2cc023473c17"/>
    <xsd:import namespace="5bcca709-0b09-4b74-bfa0-2137a84c1763"/>
    <xsd:import namespace="d80dd6ab-43bf-4d9d-bb1e-742532452846"/>
    <xsd:import namespace="b80ede5c-af4c-4bf2-9a87-706a3579dc11"/>
    <xsd:element name="properties">
      <xsd:complexType>
        <xsd:sequence>
          <xsd:element name="documentManagement">
            <xsd:complexType>
              <xsd:all>
                <xsd:element ref="ns3:_dlc_DocId" minOccurs="0"/>
                <xsd:element ref="ns3:_dlc_DocIdUrl" minOccurs="0"/>
                <xsd:element ref="ns3:_dlc_DocIdPersistId" minOccurs="0"/>
                <xsd:element ref="ns2:ECHADocumentTypeTaxHTField0" minOccurs="0"/>
                <xsd:element ref="ns4:TaxCatchAll" minOccurs="0"/>
                <xsd:element ref="ns5:TaxCatchAllLabel" minOccurs="0"/>
                <xsd:element ref="ns2:ECHASecClassTaxHTField0" minOccurs="0"/>
                <xsd:element ref="ns2:ECHAProcessTaxHTField0" minOccurs="0"/>
                <xsd:element ref="ns2:ECHACategory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1b924-dee2-413a-bdc8-2cc023473c17" elementFormDefault="qualified">
    <xsd:import namespace="http://schemas.microsoft.com/office/2006/documentManagement/types"/>
    <xsd:import namespace="http://schemas.microsoft.com/office/infopath/2007/PartnerControls"/>
    <xsd:element name="ECHADocumentTypeTaxHTField0" ma:index="11" nillable="true" ma:taxonomy="true" ma:internalName="gd32339cd0b5409a9fdb05f9583968bc" ma:taxonomyFieldName="ECHADocumentType" ma:displayName="Document type" ma:readOnly="false" ma:fieldId="{0d32339c-d0b5-409a-9fdb-05f9583968bc}" ma:sspId="5f69e26b-beb5-49c8-89f9-b5a0fae19f51" ma:termSetId="aedf82a2-407f-4791-945d-c1f392314e39" ma:anchorId="00000000-0000-0000-0000-000000000000" ma:open="false" ma:isKeyword="false">
      <xsd:complexType>
        <xsd:sequence>
          <xsd:element ref="pc:Terms" minOccurs="0" maxOccurs="1"/>
        </xsd:sequence>
      </xsd:complexType>
    </xsd:element>
    <xsd:element name="ECHASecClassTaxHTField0" ma:index="15" ma:taxonomy="true" ma:internalName="ab0eb6f132fb4a769815f72efb98c81d" ma:taxonomyFieldName="ECHASecClass" ma:displayName="Security classification" ma:default="1;#|a0307bc2-faf9-4068-8aeb-b713e4fa2a0f" ma:fieldId="{ab0eb6f1-32fb-4a76-9815-f72efb98c81d}" ma:sspId="5f69e26b-beb5-49c8-89f9-b5a0fae19f51" ma:termSetId="bdbfee88-fbc0-4b29-a996-994f751932c4" ma:anchorId="00000000-0000-0000-0000-000000000000" ma:open="false" ma:isKeyword="false">
      <xsd:complexType>
        <xsd:sequence>
          <xsd:element ref="pc:Terms" minOccurs="0" maxOccurs="1"/>
        </xsd:sequence>
      </xsd:complexType>
    </xsd:element>
    <xsd:element name="ECHAProcessTaxHTField0" ma:index="17" nillable="true" ma:taxonomy="true" ma:internalName="k79ecea8bd3e48279038bf7156c8359b" ma:taxonomyFieldName="ECHAProcess" ma:displayName="Process" ma:readOnly="false" ma:fieldId="{479ecea8-bd3e-4827-9038-bf7156c8359b}" ma:sspId="5f69e26b-beb5-49c8-89f9-b5a0fae19f51" ma:termSetId="c30def1a-2ee0-45a9-b531-f691ecbc3c44" ma:anchorId="00000000-0000-0000-0000-000000000000" ma:open="false" ma:isKeyword="false">
      <xsd:complexType>
        <xsd:sequence>
          <xsd:element ref="pc:Terms" minOccurs="0" maxOccurs="1"/>
        </xsd:sequence>
      </xsd:complexType>
    </xsd:element>
    <xsd:element name="ECHACategoryTaxHTField0" ma:index="19" nillable="true" ma:taxonomy="true" ma:internalName="p86653fd247d4255942aa31697ef2e78" ma:taxonomyFieldName="ECHACategory" ma:displayName="Category" ma:readOnly="false" ma:default="" ma:fieldId="{986653fd-247d-4255-942a-a31697ef2e78}" ma:sspId="5f69e26b-beb5-49c8-89f9-b5a0fae19f51" ma:termSetId="55e7dc03-f0a2-4416-8b3b-39dffa2b388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cca709-0b09-4b74-bfa0-2137a84c17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0dd6ab-43bf-4d9d-bb1e-742532452846"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14db2d2-f1ed-4c58-8539-ffd4e5068399}" ma:internalName="TaxCatchAll" ma:showField="CatchAllData" ma:web="d80dd6ab-43bf-4d9d-bb1e-7425324528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0ede5c-af4c-4bf2-9a87-706a3579dc11" elementFormDefault="qualified">
    <xsd:import namespace="http://schemas.microsoft.com/office/2006/documentManagement/types"/>
    <xsd:import namespace="http://schemas.microsoft.com/office/infopath/2007/PartnerControls"/>
    <xsd:element name="TaxCatchAllLabel" ma:index="13" nillable="true" ma:displayName="Taxonomy Catch All Column1" ma:description="" ma:hidden="true" ma:list="{8da9f775-fdf3-4d14-99ae-8f8e0cbfc351}" ma:internalName="TaxCatchAllLabel" ma:readOnly="true" ma:showField="CatchAllDataLabel" ma:web="a3c34eed-3ef9-4750-993f-44a2ccbf1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69e26b-beb5-49c8-89f9-b5a0fae19f51" ContentTypeId="0x010100B558917389A54ADDB58930FBD7E6FD57008586DED9191B4C4CBD31A5DF7F304A7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CHAProcessTaxHTField0 xmlns="4811b924-dee2-413a-bdc8-2cc023473c1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ProcessTaxHTField0>
    <ECHACategoryTaxHTField0 xmlns="4811b924-dee2-413a-bdc8-2cc023473c1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CategoryTaxHTField0>
    <TaxCatchAll xmlns="d80dd6ab-43bf-4d9d-bb1e-742532452846">
      <Value>1</Value>
    </TaxCatchAll>
    <ECHADocumentTypeTaxHTField0 xmlns="4811b924-dee2-413a-bdc8-2cc023473c1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ECHADocumentTypeTaxHTField0>
    <ECHASecClassTaxHTField0 xmlns="4811b924-dee2-413a-bdc8-2cc023473c17">
      <Terms xmlns="http://schemas.microsoft.com/office/infopath/2007/PartnerControls">
        <TermInfo xmlns="http://schemas.microsoft.com/office/infopath/2007/PartnerControls">
          <TermName xmlns="http://schemas.microsoft.com/office/infopath/2007/PartnerControls"/>
          <TermId xmlns="http://schemas.microsoft.com/office/infopath/2007/PartnerControls">a0307bc2-faf9-4068-8aeb-b713e4fa2a0f</TermId>
        </TermInfo>
      </Terms>
    </ECHASecClassTaxHTField0>
    <_dlc_DocId xmlns="5bcca709-0b09-4b74-bfa0-2137a84c1763">ACTV3-45-25953</_dlc_DocId>
    <_dlc_DocIdUrl xmlns="5bcca709-0b09-4b74-bfa0-2137a84c1763">
      <Url>https://activity.echa.europa.eu/sites/act-3/process-3-5/_layouts/15/DocIdRedir.aspx?ID=ACTV3-45-25953</Url>
      <Description>ACTV3-45-25953</Description>
    </_dlc_DocIdUrl>
  </documentManagement>
</p:properties>
</file>

<file path=customXml/item6.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F731107-99AF-41D1-BFEB-80AEA2EF0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1b924-dee2-413a-bdc8-2cc023473c17"/>
    <ds:schemaRef ds:uri="5bcca709-0b09-4b74-bfa0-2137a84c1763"/>
    <ds:schemaRef ds:uri="d80dd6ab-43bf-4d9d-bb1e-742532452846"/>
    <ds:schemaRef ds:uri="b80ede5c-af4c-4bf2-9a87-706a3579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D60100-B99A-4E7B-AF4B-5C15A0192F22}">
  <ds:schemaRefs>
    <ds:schemaRef ds:uri="Microsoft.SharePoint.Taxonomy.ContentTypeSync"/>
  </ds:schemaRefs>
</ds:datastoreItem>
</file>

<file path=customXml/itemProps3.xml><?xml version="1.0" encoding="utf-8"?>
<ds:datastoreItem xmlns:ds="http://schemas.openxmlformats.org/officeDocument/2006/customXml" ds:itemID="{B3B0FBA1-D4A6-4EC4-B8AE-437A0043E686}">
  <ds:schemaRefs>
    <ds:schemaRef ds:uri="http://schemas.microsoft.com/sharepoint/events"/>
  </ds:schemaRefs>
</ds:datastoreItem>
</file>

<file path=customXml/itemProps4.xml><?xml version="1.0" encoding="utf-8"?>
<ds:datastoreItem xmlns:ds="http://schemas.openxmlformats.org/officeDocument/2006/customXml" ds:itemID="{00846BBF-19FC-4F84-9922-FB68C4703393}">
  <ds:schemaRefs>
    <ds:schemaRef ds:uri="http://schemas.microsoft.com/sharepoint/v3/contenttype/forms"/>
  </ds:schemaRefs>
</ds:datastoreItem>
</file>

<file path=customXml/itemProps5.xml><?xml version="1.0" encoding="utf-8"?>
<ds:datastoreItem xmlns:ds="http://schemas.openxmlformats.org/officeDocument/2006/customXml" ds:itemID="{A0B707A3-D322-4561-8E1F-37C9E32B52A8}">
  <ds:schemaRefs>
    <ds:schemaRef ds:uri="http://schemas.microsoft.com/office/2006/documentManagement/types"/>
    <ds:schemaRef ds:uri="http://schemas.microsoft.com/office/infopath/2007/PartnerControls"/>
    <ds:schemaRef ds:uri="http://purl.org/dc/elements/1.1/"/>
    <ds:schemaRef ds:uri="4811b924-dee2-413a-bdc8-2cc023473c17"/>
    <ds:schemaRef ds:uri="http://schemas.microsoft.com/office/2006/metadata/properties"/>
    <ds:schemaRef ds:uri="http://www.w3.org/XML/1998/namespace"/>
    <ds:schemaRef ds:uri="http://purl.org/dc/terms/"/>
    <ds:schemaRef ds:uri="http://schemas.openxmlformats.org/package/2006/metadata/core-properties"/>
    <ds:schemaRef ds:uri="b80ede5c-af4c-4bf2-9a87-706a3579dc11"/>
    <ds:schemaRef ds:uri="d80dd6ab-43bf-4d9d-bb1e-742532452846"/>
    <ds:schemaRef ds:uri="5bcca709-0b09-4b74-bfa0-2137a84c1763"/>
    <ds:schemaRef ds:uri="http://purl.org/dc/dcmitype/"/>
  </ds:schemaRefs>
</ds:datastoreItem>
</file>

<file path=customXml/itemProps6.xml><?xml version="1.0" encoding="utf-8"?>
<ds:datastoreItem xmlns:ds="http://schemas.openxmlformats.org/officeDocument/2006/customXml" ds:itemID="{9D5495F7-9577-47B4-B0C0-DCD5C2C7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3</TotalTime>
  <Pages>2</Pages>
  <Words>3267</Words>
  <Characters>17960</Characters>
  <Application>Microsoft Office Word</Application>
  <DocSecurity>0</DocSecurity>
  <Lines>284</Lines>
  <Paragraphs>54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Ana-Maria.Blass-Rico@ec.europa.eu</dc:creator>
  <cp:keywords/>
  <dc:description/>
  <cp:lastModifiedBy>THOMAS Nathalie (GROW)</cp:lastModifiedBy>
  <cp:revision>10</cp:revision>
  <cp:lastPrinted>2020-02-03T16:58:00Z</cp:lastPrinted>
  <dcterms:created xsi:type="dcterms:W3CDTF">2022-04-06T06:48:00Z</dcterms:created>
  <dcterms:modified xsi:type="dcterms:W3CDTF">2022-04-06T06:52:00Z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8.0, Build 20220128</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ContentTypeId">
    <vt:lpwstr>0x010100B558917389A54ADDB58930FBD7E6FD57008586DED9191B4C4CBD31A5DF7F304A710015A39CDAD533EF46BCDBF4014DA9C42C</vt:lpwstr>
  </property>
  <property fmtid="{D5CDD505-2E9C-101B-9397-08002B2CF9AE}" pid="11" name="_dlc_DocIdItemGuid">
    <vt:lpwstr>997dade2-9c3e-4093-a9fa-f00123a4b764</vt:lpwstr>
  </property>
  <property fmtid="{D5CDD505-2E9C-101B-9397-08002B2CF9AE}" pid="12" name="ECHAProcess">
    <vt:lpwstr/>
  </property>
  <property fmtid="{D5CDD505-2E9C-101B-9397-08002B2CF9AE}" pid="13" name="ECHADocumentType">
    <vt:lpwstr/>
  </property>
  <property fmtid="{D5CDD505-2E9C-101B-9397-08002B2CF9AE}" pid="14" name="ECHACategory">
    <vt:lpwstr/>
  </property>
  <property fmtid="{D5CDD505-2E9C-101B-9397-08002B2CF9AE}" pid="15" name="ECHASecClass">
    <vt:lpwstr>1;#|a0307bc2-faf9-4068-8aeb-b713e4fa2a0f</vt:lpwstr>
  </property>
  <property fmtid="{D5CDD505-2E9C-101B-9397-08002B2CF9AE}" pid="16" name="DQCStatus">
    <vt:lpwstr>Green (DQC version 03)</vt:lpwstr>
  </property>
</Properties>
</file>