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FF5FF" w14:textId="3C93BBB0" w:rsidR="00F155D9" w:rsidRDefault="0089591C" w:rsidP="00B44329">
      <w:pPr>
        <w:pStyle w:val="Pagedecouverture"/>
      </w:pPr>
      <w:bookmarkStart w:id="0" w:name="LW_BM_COVERPAGE"/>
      <w:bookmarkStart w:id="1" w:name="_GoBack"/>
      <w:bookmarkEnd w:id="1"/>
      <w:r>
        <w:pict w14:anchorId="057D78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8E91A26F-82D3-4492-8AF3-3C67777796C2" style="width:450.35pt;height:406.45pt">
            <v:imagedata r:id="rId8" o:title=""/>
          </v:shape>
        </w:pict>
      </w:r>
    </w:p>
    <w:bookmarkEnd w:id="0"/>
    <w:p w14:paraId="33AD020B" w14:textId="77777777" w:rsidR="00F155D9" w:rsidRDefault="00F155D9" w:rsidP="00F155D9">
      <w:pPr>
        <w:sectPr w:rsidR="00F155D9" w:rsidSect="00B443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F3421A3" w14:textId="77777777" w:rsidR="0045525D" w:rsidRDefault="0045525D" w:rsidP="0045525D">
      <w:pPr>
        <w:pStyle w:val="Annexetitre"/>
      </w:pPr>
      <w:r w:rsidRPr="00B47429">
        <w:lastRenderedPageBreak/>
        <w:t xml:space="preserve">ANNEX </w:t>
      </w:r>
    </w:p>
    <w:p w14:paraId="5DFB222F" w14:textId="77777777" w:rsidR="0045525D" w:rsidRPr="00CD7E7F" w:rsidRDefault="0045525D" w:rsidP="0045525D">
      <w:pPr>
        <w:tabs>
          <w:tab w:val="right" w:pos="9026"/>
        </w:tabs>
        <w:spacing w:after="0"/>
        <w:rPr>
          <w:rFonts w:eastAsia="Times New Roman"/>
          <w:szCs w:val="24"/>
        </w:rPr>
      </w:pPr>
      <w:r w:rsidRPr="00CD7E7F">
        <w:rPr>
          <w:rFonts w:eastAsia="Times New Roman"/>
          <w:szCs w:val="24"/>
        </w:rPr>
        <w:t>Annex XVII to Regulation (EC) No 1907/2006 is amended as follows:</w:t>
      </w:r>
    </w:p>
    <w:p w14:paraId="065B5938" w14:textId="4B602FDE" w:rsidR="0045525D" w:rsidRPr="00CD7E7F" w:rsidRDefault="0045525D" w:rsidP="0045525D">
      <w:pPr>
        <w:tabs>
          <w:tab w:val="right" w:pos="9026"/>
        </w:tabs>
        <w:rPr>
          <w:rFonts w:eastAsia="Times New Roman"/>
          <w:szCs w:val="24"/>
        </w:rPr>
      </w:pPr>
      <w:r w:rsidRPr="00CD7E7F">
        <w:rPr>
          <w:rFonts w:eastAsia="Times New Roman"/>
          <w:szCs w:val="24"/>
        </w:rPr>
        <w:t>(1) the following entry is added:</w:t>
      </w:r>
    </w:p>
    <w:tbl>
      <w:tblPr>
        <w:tblW w:w="83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  <w:gridCol w:w="5090"/>
      </w:tblGrid>
      <w:tr w:rsidR="0045525D" w:rsidRPr="00C53A2E" w14:paraId="221EAEBC" w14:textId="77777777" w:rsidTr="00336657">
        <w:trPr>
          <w:trHeight w:val="360"/>
        </w:trPr>
        <w:tc>
          <w:tcPr>
            <w:tcW w:w="3300" w:type="dxa"/>
          </w:tcPr>
          <w:p w14:paraId="797A5B48" w14:textId="07194DD2" w:rsidR="00336657" w:rsidRPr="00C53A2E" w:rsidRDefault="0045525D" w:rsidP="0012129F">
            <w:pPr>
              <w:autoSpaceDE w:val="0"/>
              <w:autoSpaceDN w:val="0"/>
              <w:adjustRightInd w:val="0"/>
              <w:spacing w:before="60" w:after="60" w:line="360" w:lineRule="auto"/>
              <w:jc w:val="left"/>
              <w:rPr>
                <w:rFonts w:eastAsia="Times New Roman"/>
                <w:bCs/>
                <w:szCs w:val="24"/>
                <w:lang w:val="es-CU" w:eastAsia="en-GB"/>
              </w:rPr>
            </w:pPr>
            <w:r w:rsidRPr="00C53A2E">
              <w:rPr>
                <w:rFonts w:eastAsia="Times New Roman"/>
                <w:bCs/>
                <w:szCs w:val="24"/>
                <w:lang w:val="es-CU" w:eastAsia="en-GB"/>
              </w:rPr>
              <w:t>‘xx.</w:t>
            </w:r>
            <w:r w:rsidR="0012129F" w:rsidRPr="00C53A2E">
              <w:rPr>
                <w:rFonts w:eastAsia="Times New Roman"/>
                <w:bCs/>
                <w:szCs w:val="24"/>
                <w:lang w:val="es-CU" w:eastAsia="en-GB"/>
              </w:rPr>
              <w:t xml:space="preserve"> Formaldehyde </w:t>
            </w:r>
          </w:p>
          <w:p w14:paraId="660CE439" w14:textId="77777777" w:rsidR="0012129F" w:rsidRPr="00C53A2E" w:rsidRDefault="00336657" w:rsidP="0012129F">
            <w:pPr>
              <w:autoSpaceDE w:val="0"/>
              <w:autoSpaceDN w:val="0"/>
              <w:adjustRightInd w:val="0"/>
              <w:spacing w:before="60" w:after="0"/>
              <w:jc w:val="left"/>
              <w:rPr>
                <w:rFonts w:eastAsia="Times New Roman"/>
                <w:bCs/>
                <w:szCs w:val="24"/>
                <w:lang w:val="es-CU" w:eastAsia="en-GB"/>
              </w:rPr>
            </w:pPr>
            <w:r w:rsidRPr="00C53A2E">
              <w:rPr>
                <w:rFonts w:eastAsia="Times New Roman"/>
                <w:bCs/>
                <w:szCs w:val="24"/>
                <w:lang w:val="es-CU" w:eastAsia="en-GB"/>
              </w:rPr>
              <w:t>CAS No 50-00-0</w:t>
            </w:r>
          </w:p>
          <w:p w14:paraId="179C3D58" w14:textId="77777777" w:rsidR="00336657" w:rsidRPr="00C53A2E" w:rsidRDefault="00336657" w:rsidP="00336657">
            <w:pPr>
              <w:autoSpaceDE w:val="0"/>
              <w:autoSpaceDN w:val="0"/>
              <w:adjustRightInd w:val="0"/>
              <w:spacing w:before="60" w:after="240"/>
              <w:jc w:val="left"/>
              <w:rPr>
                <w:rFonts w:eastAsia="Times New Roman"/>
                <w:bCs/>
                <w:szCs w:val="24"/>
                <w:lang w:val="es-CU" w:eastAsia="en-GB"/>
              </w:rPr>
            </w:pPr>
            <w:r w:rsidRPr="00C53A2E">
              <w:rPr>
                <w:rFonts w:eastAsia="Times New Roman"/>
                <w:bCs/>
                <w:szCs w:val="24"/>
                <w:lang w:val="es-CU" w:eastAsia="en-GB"/>
              </w:rPr>
              <w:t>EC No 200-001-8</w:t>
            </w:r>
          </w:p>
          <w:p w14:paraId="5FEA1C41" w14:textId="77777777" w:rsidR="0045525D" w:rsidRPr="00C53A2E" w:rsidRDefault="00336657" w:rsidP="00336657">
            <w:pPr>
              <w:autoSpaceDE w:val="0"/>
              <w:autoSpaceDN w:val="0"/>
              <w:adjustRightInd w:val="0"/>
              <w:spacing w:before="60" w:after="240"/>
              <w:jc w:val="left"/>
              <w:rPr>
                <w:rFonts w:eastAsia="Times New Roman"/>
                <w:bCs/>
                <w:szCs w:val="24"/>
                <w:lang w:eastAsia="en-GB"/>
              </w:rPr>
            </w:pPr>
            <w:r w:rsidRPr="00C53A2E">
              <w:rPr>
                <w:rFonts w:eastAsia="Times New Roman"/>
                <w:bCs/>
                <w:szCs w:val="24"/>
                <w:lang w:eastAsia="en-GB"/>
              </w:rPr>
              <w:t>and fo</w:t>
            </w:r>
            <w:r w:rsidR="0012129F" w:rsidRPr="00C53A2E">
              <w:rPr>
                <w:rFonts w:eastAsia="Times New Roman"/>
                <w:bCs/>
                <w:szCs w:val="24"/>
                <w:lang w:eastAsia="en-GB"/>
              </w:rPr>
              <w:t>rmaldehyde releasing substances</w:t>
            </w:r>
            <w:r w:rsidR="0045525D" w:rsidRPr="00C53A2E">
              <w:rPr>
                <w:rFonts w:eastAsia="Times New Roman"/>
                <w:bCs/>
                <w:szCs w:val="24"/>
                <w:lang w:eastAsia="en-GB"/>
              </w:rPr>
              <w:t xml:space="preserve"> </w:t>
            </w:r>
          </w:p>
          <w:p w14:paraId="334AC7CD" w14:textId="77777777" w:rsidR="0045525D" w:rsidRPr="00C53A2E" w:rsidRDefault="0045525D" w:rsidP="00336657">
            <w:pPr>
              <w:autoSpaceDE w:val="0"/>
              <w:autoSpaceDN w:val="0"/>
              <w:adjustRightInd w:val="0"/>
              <w:spacing w:before="60" w:after="240"/>
              <w:jc w:val="left"/>
              <w:rPr>
                <w:rFonts w:eastAsia="Times New Roman"/>
                <w:bCs/>
                <w:szCs w:val="24"/>
                <w:lang w:eastAsia="en-GB"/>
              </w:rPr>
            </w:pPr>
          </w:p>
          <w:p w14:paraId="56DFC34F" w14:textId="77777777" w:rsidR="0045525D" w:rsidRPr="00C53A2E" w:rsidRDefault="0045525D" w:rsidP="00336657">
            <w:pPr>
              <w:autoSpaceDE w:val="0"/>
              <w:autoSpaceDN w:val="0"/>
              <w:adjustRightInd w:val="0"/>
              <w:spacing w:before="60" w:after="240"/>
              <w:jc w:val="left"/>
              <w:rPr>
                <w:rFonts w:ascii="EUAlbertina" w:eastAsia="Times New Roman" w:hAnsi="EUAlbertina" w:cs="EUAlbertina"/>
                <w:i/>
                <w:color w:val="000000"/>
                <w:szCs w:val="24"/>
              </w:rPr>
            </w:pPr>
          </w:p>
        </w:tc>
        <w:tc>
          <w:tcPr>
            <w:tcW w:w="5090" w:type="dxa"/>
          </w:tcPr>
          <w:p w14:paraId="6154A49C" w14:textId="77777777" w:rsidR="0045525D" w:rsidRPr="00C53A2E" w:rsidRDefault="0045525D" w:rsidP="00336657">
            <w:pPr>
              <w:ind w:left="360"/>
              <w:contextualSpacing/>
              <w:rPr>
                <w:rFonts w:eastAsia="Times New Roman"/>
                <w:szCs w:val="24"/>
              </w:rPr>
            </w:pPr>
          </w:p>
          <w:p w14:paraId="127F3E10" w14:textId="489B720A" w:rsidR="00C52B17" w:rsidRPr="00C53A2E" w:rsidRDefault="00336657" w:rsidP="00984417">
            <w:pPr>
              <w:widowControl w:val="0"/>
              <w:numPr>
                <w:ilvl w:val="0"/>
                <w:numId w:val="1"/>
              </w:numPr>
              <w:spacing w:before="0" w:line="259" w:lineRule="auto"/>
              <w:rPr>
                <w:rFonts w:eastAsia="Calibri"/>
                <w:szCs w:val="24"/>
              </w:rPr>
            </w:pPr>
            <w:r w:rsidRPr="00C53A2E">
              <w:rPr>
                <w:rFonts w:eastAsia="Calibri"/>
                <w:szCs w:val="24"/>
              </w:rPr>
              <w:t>Sh</w:t>
            </w:r>
            <w:r w:rsidR="00992FF0" w:rsidRPr="00C53A2E">
              <w:rPr>
                <w:rFonts w:eastAsia="Calibri"/>
                <w:szCs w:val="24"/>
              </w:rPr>
              <w:t xml:space="preserve">all not be placed on the </w:t>
            </w:r>
            <w:r w:rsidR="00E0342F" w:rsidRPr="00C53A2E">
              <w:rPr>
                <w:rFonts w:eastAsia="Calibri"/>
                <w:szCs w:val="24"/>
              </w:rPr>
              <w:t xml:space="preserve">market in articles, </w:t>
            </w:r>
            <w:r w:rsidR="00082650" w:rsidRPr="00C53A2E">
              <w:rPr>
                <w:rFonts w:eastAsia="Calibri"/>
                <w:szCs w:val="24"/>
              </w:rPr>
              <w:t xml:space="preserve">after </w:t>
            </w:r>
            <w:r w:rsidR="00082650" w:rsidRPr="00C53A2E">
              <w:rPr>
                <w:rFonts w:eastAsia="Times New Roman"/>
                <w:iCs/>
                <w:snapToGrid w:val="0"/>
                <w:szCs w:val="24"/>
                <w:lang w:eastAsia="fi-FI"/>
              </w:rPr>
              <w:t>[</w:t>
            </w:r>
            <w:r w:rsidR="00082650" w:rsidRPr="00C53A2E">
              <w:rPr>
                <w:rFonts w:eastAsia="Times New Roman"/>
                <w:i/>
                <w:iCs/>
                <w:snapToGrid w:val="0"/>
                <w:szCs w:val="24"/>
                <w:lang w:eastAsia="fi-FI"/>
              </w:rPr>
              <w:t xml:space="preserve">OP, please insert the date: 36 months </w:t>
            </w:r>
            <w:r w:rsidR="00082650" w:rsidRPr="00D50332">
              <w:rPr>
                <w:rFonts w:eastAsia="Times New Roman"/>
                <w:i/>
                <w:iCs/>
                <w:snapToGrid w:val="0"/>
                <w:sz w:val="22"/>
                <w:szCs w:val="24"/>
                <w:lang w:eastAsia="fi-FI"/>
              </w:rPr>
              <w:t>after</w:t>
            </w:r>
            <w:r w:rsidR="00082650" w:rsidRPr="00C53A2E">
              <w:rPr>
                <w:rFonts w:eastAsia="Times New Roman"/>
                <w:i/>
                <w:iCs/>
                <w:snapToGrid w:val="0"/>
                <w:szCs w:val="24"/>
                <w:lang w:eastAsia="fi-FI"/>
              </w:rPr>
              <w:t xml:space="preserve"> the </w:t>
            </w:r>
            <w:r w:rsidR="00515330">
              <w:rPr>
                <w:rFonts w:eastAsia="Times New Roman"/>
                <w:i/>
                <w:iCs/>
                <w:snapToGrid w:val="0"/>
                <w:szCs w:val="24"/>
                <w:lang w:eastAsia="fi-FI"/>
              </w:rPr>
              <w:t xml:space="preserve">date of </w:t>
            </w:r>
            <w:r w:rsidR="00082650" w:rsidRPr="00C53A2E">
              <w:rPr>
                <w:rFonts w:eastAsia="Times New Roman"/>
                <w:i/>
                <w:iCs/>
                <w:snapToGrid w:val="0"/>
                <w:szCs w:val="24"/>
                <w:lang w:eastAsia="fi-FI"/>
              </w:rPr>
              <w:t>entry into force of this amending Regulation</w:t>
            </w:r>
            <w:r w:rsidR="00082650" w:rsidRPr="00C53A2E">
              <w:rPr>
                <w:rFonts w:eastAsia="Times New Roman"/>
                <w:iCs/>
                <w:snapToGrid w:val="0"/>
                <w:szCs w:val="24"/>
                <w:lang w:eastAsia="fi-FI"/>
              </w:rPr>
              <w:t>]</w:t>
            </w:r>
            <w:r w:rsidR="00082650">
              <w:rPr>
                <w:rFonts w:eastAsia="Calibri"/>
                <w:szCs w:val="24"/>
              </w:rPr>
              <w:t xml:space="preserve"> </w:t>
            </w:r>
            <w:r w:rsidR="00E0342F" w:rsidRPr="00C53A2E">
              <w:rPr>
                <w:rFonts w:eastAsia="Calibri"/>
                <w:szCs w:val="24"/>
              </w:rPr>
              <w:t xml:space="preserve">where formaldehyde or formaldehyde releasing substances have been intentionally added </w:t>
            </w:r>
            <w:r w:rsidR="00082650" w:rsidRPr="00515330">
              <w:rPr>
                <w:rFonts w:eastAsia="Calibri"/>
                <w:szCs w:val="24"/>
              </w:rPr>
              <w:t>during</w:t>
            </w:r>
            <w:r w:rsidR="00E0342F" w:rsidRPr="00C53A2E">
              <w:rPr>
                <w:rFonts w:eastAsia="Calibri"/>
                <w:szCs w:val="24"/>
              </w:rPr>
              <w:t xml:space="preserve"> </w:t>
            </w:r>
            <w:r w:rsidR="00CF5CB1" w:rsidRPr="00C53A2E">
              <w:rPr>
                <w:rFonts w:eastAsia="Calibri"/>
                <w:szCs w:val="24"/>
              </w:rPr>
              <w:t>their</w:t>
            </w:r>
            <w:r w:rsidR="00810E1B" w:rsidRPr="00C53A2E">
              <w:rPr>
                <w:rFonts w:eastAsia="Calibri"/>
                <w:szCs w:val="24"/>
              </w:rPr>
              <w:t xml:space="preserve"> production</w:t>
            </w:r>
            <w:r w:rsidR="00E0342F" w:rsidRPr="00C53A2E">
              <w:rPr>
                <w:rFonts w:eastAsia="Calibri"/>
                <w:szCs w:val="24"/>
              </w:rPr>
              <w:t>,</w:t>
            </w:r>
            <w:r w:rsidR="008420CE" w:rsidRPr="00C53A2E">
              <w:rPr>
                <w:rFonts w:eastAsia="Calibri"/>
                <w:szCs w:val="24"/>
              </w:rPr>
              <w:t xml:space="preserve"> </w:t>
            </w:r>
            <w:r w:rsidR="00E0342F" w:rsidRPr="00C53A2E">
              <w:rPr>
                <w:rFonts w:eastAsia="Calibri"/>
                <w:szCs w:val="24"/>
              </w:rPr>
              <w:t>if</w:t>
            </w:r>
            <w:r w:rsidR="00C52B17" w:rsidRPr="00C53A2E">
              <w:rPr>
                <w:rFonts w:eastAsia="Calibri"/>
                <w:szCs w:val="24"/>
              </w:rPr>
              <w:t>,</w:t>
            </w:r>
            <w:r w:rsidRPr="00C53A2E">
              <w:rPr>
                <w:rFonts w:eastAsia="Calibri"/>
                <w:szCs w:val="24"/>
              </w:rPr>
              <w:t xml:space="preserve"> </w:t>
            </w:r>
            <w:r w:rsidR="00C52B17" w:rsidRPr="00C53A2E">
              <w:rPr>
                <w:rFonts w:eastAsia="Calibri"/>
                <w:szCs w:val="24"/>
              </w:rPr>
              <w:t xml:space="preserve">under the test conditions specified in Appendix [X], </w:t>
            </w:r>
            <w:r w:rsidR="00B95635" w:rsidRPr="00C53A2E">
              <w:rPr>
                <w:rFonts w:eastAsia="Calibri"/>
                <w:szCs w:val="24"/>
              </w:rPr>
              <w:t>the concentration</w:t>
            </w:r>
            <w:r w:rsidR="002C7751" w:rsidRPr="00C53A2E">
              <w:rPr>
                <w:rFonts w:eastAsia="Calibri"/>
                <w:szCs w:val="24"/>
              </w:rPr>
              <w:t xml:space="preserve"> of </w:t>
            </w:r>
            <w:r w:rsidRPr="00C53A2E">
              <w:rPr>
                <w:rFonts w:eastAsia="Calibri"/>
                <w:szCs w:val="24"/>
              </w:rPr>
              <w:t xml:space="preserve">formaldehyde released from </w:t>
            </w:r>
            <w:r w:rsidR="008061AB">
              <w:rPr>
                <w:rFonts w:eastAsia="Calibri"/>
                <w:szCs w:val="24"/>
              </w:rPr>
              <w:t>those articles</w:t>
            </w:r>
            <w:r w:rsidRPr="00C53A2E">
              <w:rPr>
                <w:rFonts w:eastAsia="Calibri"/>
                <w:szCs w:val="24"/>
              </w:rPr>
              <w:t xml:space="preserve"> exceeds</w:t>
            </w:r>
            <w:r w:rsidR="00C52B17" w:rsidRPr="00C53A2E">
              <w:rPr>
                <w:rFonts w:eastAsia="Calibri"/>
                <w:szCs w:val="24"/>
              </w:rPr>
              <w:t>:</w:t>
            </w:r>
          </w:p>
          <w:p w14:paraId="6E570737" w14:textId="024C362E" w:rsidR="00C52B17" w:rsidRPr="00C53A2E" w:rsidRDefault="00B44329" w:rsidP="00400EAA">
            <w:pPr>
              <w:widowControl w:val="0"/>
              <w:spacing w:before="0" w:line="259" w:lineRule="auto"/>
              <w:ind w:left="357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(a)</w:t>
            </w:r>
            <w:r w:rsidR="00E502F3" w:rsidRPr="0044475B">
              <w:rPr>
                <w:rFonts w:eastAsia="Calibri"/>
                <w:szCs w:val="24"/>
              </w:rPr>
              <w:t xml:space="preserve"> 0,062</w:t>
            </w:r>
            <w:r w:rsidR="000A6821" w:rsidRPr="0044475B">
              <w:rPr>
                <w:rFonts w:eastAsia="Calibri"/>
                <w:szCs w:val="24"/>
              </w:rPr>
              <w:t xml:space="preserve"> </w:t>
            </w:r>
            <w:r w:rsidR="00336657" w:rsidRPr="0044475B">
              <w:rPr>
                <w:rFonts w:eastAsia="Calibri"/>
                <w:szCs w:val="24"/>
              </w:rPr>
              <w:t>mg/m</w:t>
            </w:r>
            <w:r w:rsidR="00336657" w:rsidRPr="00082650">
              <w:rPr>
                <w:rFonts w:eastAsia="Calibri"/>
                <w:szCs w:val="24"/>
                <w:vertAlign w:val="superscript"/>
              </w:rPr>
              <w:t>3</w:t>
            </w:r>
            <w:r w:rsidR="00C52B17" w:rsidRPr="00082650">
              <w:rPr>
                <w:rFonts w:eastAsia="Calibri"/>
                <w:szCs w:val="24"/>
                <w:vertAlign w:val="superscript"/>
              </w:rPr>
              <w:t xml:space="preserve"> </w:t>
            </w:r>
            <w:r w:rsidR="008C38ED" w:rsidRPr="00082650">
              <w:rPr>
                <w:rFonts w:eastAsia="Calibri"/>
                <w:szCs w:val="24"/>
              </w:rPr>
              <w:t>for</w:t>
            </w:r>
            <w:r w:rsidR="006B335B" w:rsidRPr="00082650">
              <w:rPr>
                <w:rFonts w:eastAsia="Calibri"/>
                <w:szCs w:val="24"/>
              </w:rPr>
              <w:t xml:space="preserve"> </w:t>
            </w:r>
            <w:r w:rsidR="00C52B17" w:rsidRPr="0044475B">
              <w:rPr>
                <w:rFonts w:eastAsia="Calibri"/>
                <w:szCs w:val="24"/>
              </w:rPr>
              <w:t xml:space="preserve">wood-based </w:t>
            </w:r>
            <w:r w:rsidR="00231D73" w:rsidRPr="0044475B">
              <w:rPr>
                <w:rFonts w:eastAsia="Calibri"/>
                <w:szCs w:val="24"/>
              </w:rPr>
              <w:t>articles</w:t>
            </w:r>
            <w:r w:rsidR="006B335B" w:rsidRPr="0044475B">
              <w:rPr>
                <w:rFonts w:eastAsia="Calibri"/>
                <w:szCs w:val="24"/>
              </w:rPr>
              <w:t xml:space="preserve"> and</w:t>
            </w:r>
            <w:r w:rsidR="0044475B" w:rsidRPr="00082650">
              <w:rPr>
                <w:rFonts w:eastAsia="Calibri"/>
                <w:szCs w:val="24"/>
              </w:rPr>
              <w:t xml:space="preserve"> </w:t>
            </w:r>
            <w:r w:rsidR="00045805" w:rsidRPr="00C53A2E">
              <w:rPr>
                <w:rFonts w:eastAsia="Calibri"/>
                <w:szCs w:val="24"/>
              </w:rPr>
              <w:t>furniture</w:t>
            </w:r>
            <w:r w:rsidR="00515330">
              <w:rPr>
                <w:rFonts w:eastAsia="Calibri"/>
                <w:szCs w:val="24"/>
              </w:rPr>
              <w:t>;</w:t>
            </w:r>
            <w:r w:rsidR="00C52B17" w:rsidRPr="00C53A2E">
              <w:rPr>
                <w:rFonts w:eastAsia="Calibri"/>
                <w:szCs w:val="24"/>
              </w:rPr>
              <w:t xml:space="preserve"> </w:t>
            </w:r>
          </w:p>
          <w:p w14:paraId="0C2F2039" w14:textId="649BADD2" w:rsidR="00E93113" w:rsidRDefault="00B44329" w:rsidP="00400EAA">
            <w:pPr>
              <w:widowControl w:val="0"/>
              <w:spacing w:before="0" w:after="240" w:line="259" w:lineRule="auto"/>
              <w:ind w:left="357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(b) </w:t>
            </w:r>
            <w:r w:rsidR="00C52B17" w:rsidRPr="00C53A2E">
              <w:rPr>
                <w:rFonts w:eastAsia="Calibri"/>
                <w:szCs w:val="24"/>
              </w:rPr>
              <w:t>0,08 mg/m</w:t>
            </w:r>
            <w:r w:rsidR="00C52B17" w:rsidRPr="00C53A2E">
              <w:rPr>
                <w:rFonts w:eastAsia="Calibri"/>
                <w:szCs w:val="24"/>
                <w:vertAlign w:val="superscript"/>
              </w:rPr>
              <w:t xml:space="preserve">3 </w:t>
            </w:r>
            <w:r w:rsidR="00C52B17" w:rsidRPr="00C53A2E">
              <w:rPr>
                <w:rFonts w:eastAsia="Calibri"/>
                <w:szCs w:val="24"/>
              </w:rPr>
              <w:t xml:space="preserve">for articles </w:t>
            </w:r>
            <w:r w:rsidR="006F71D1">
              <w:rPr>
                <w:rFonts w:eastAsia="Calibri"/>
                <w:szCs w:val="24"/>
              </w:rPr>
              <w:t>other than wood-based articles and furniture</w:t>
            </w:r>
            <w:r w:rsidR="00C813A9" w:rsidRPr="00C53A2E">
              <w:rPr>
                <w:rFonts w:eastAsia="Calibri"/>
                <w:szCs w:val="24"/>
              </w:rPr>
              <w:t>.</w:t>
            </w:r>
          </w:p>
          <w:p w14:paraId="51A91C70" w14:textId="11090974" w:rsidR="00E93113" w:rsidRPr="00C53A2E" w:rsidRDefault="00E93113" w:rsidP="00400EAA">
            <w:pPr>
              <w:widowControl w:val="0"/>
              <w:spacing w:before="0" w:line="259" w:lineRule="auto"/>
              <w:ind w:left="357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The first </w:t>
            </w:r>
            <w:r w:rsidR="00535A39">
              <w:rPr>
                <w:rFonts w:eastAsia="Calibri"/>
                <w:szCs w:val="24"/>
              </w:rPr>
              <w:t>sub</w:t>
            </w:r>
            <w:r>
              <w:rPr>
                <w:rFonts w:eastAsia="Calibri"/>
                <w:szCs w:val="24"/>
              </w:rPr>
              <w:t>p</w:t>
            </w:r>
            <w:r w:rsidRPr="00C53A2E">
              <w:rPr>
                <w:rFonts w:eastAsia="Calibri"/>
                <w:szCs w:val="24"/>
              </w:rPr>
              <w:t xml:space="preserve">aragraph shall not apply to: </w:t>
            </w:r>
          </w:p>
          <w:p w14:paraId="5FB4CD53" w14:textId="77777777" w:rsidR="00E93113" w:rsidRPr="00C53A2E" w:rsidRDefault="00E93113" w:rsidP="00E93113">
            <w:pPr>
              <w:widowControl w:val="0"/>
              <w:numPr>
                <w:ilvl w:val="1"/>
                <w:numId w:val="12"/>
              </w:numPr>
              <w:spacing w:before="0" w:line="259" w:lineRule="auto"/>
              <w:rPr>
                <w:rFonts w:eastAsia="Calibri"/>
                <w:szCs w:val="24"/>
              </w:rPr>
            </w:pPr>
            <w:r w:rsidRPr="00C53A2E">
              <w:rPr>
                <w:rFonts w:eastAsia="Calibri"/>
                <w:szCs w:val="24"/>
              </w:rPr>
              <w:t>articles that are only for outdoor use under reasonably foreseeable conditions;</w:t>
            </w:r>
          </w:p>
          <w:p w14:paraId="3635E4C9" w14:textId="77777777" w:rsidR="00E93113" w:rsidRPr="00C53A2E" w:rsidRDefault="00E93113" w:rsidP="00E93113">
            <w:pPr>
              <w:widowControl w:val="0"/>
              <w:numPr>
                <w:ilvl w:val="1"/>
                <w:numId w:val="12"/>
              </w:numPr>
              <w:spacing w:before="0" w:line="259" w:lineRule="auto"/>
              <w:rPr>
                <w:rFonts w:eastAsia="Calibri"/>
                <w:szCs w:val="24"/>
              </w:rPr>
            </w:pPr>
            <w:r w:rsidRPr="00C53A2E">
              <w:rPr>
                <w:rFonts w:eastAsia="Calibri"/>
                <w:szCs w:val="24"/>
              </w:rPr>
              <w:t>articles</w:t>
            </w:r>
            <w:r>
              <w:rPr>
                <w:rFonts w:eastAsia="Calibri"/>
                <w:szCs w:val="24"/>
              </w:rPr>
              <w:t xml:space="preserve"> </w:t>
            </w:r>
            <w:r w:rsidRPr="00C53A2E">
              <w:rPr>
                <w:rFonts w:eastAsia="Calibri"/>
                <w:szCs w:val="24"/>
              </w:rPr>
              <w:t>exclusively for industrial or professional use unless formaldehyde released from them leads to exposure of the general public under foreseeable conditions of use;</w:t>
            </w:r>
          </w:p>
          <w:p w14:paraId="4C96C19E" w14:textId="77777777" w:rsidR="00E93113" w:rsidRPr="00C53A2E" w:rsidRDefault="00E93113" w:rsidP="00E93113">
            <w:pPr>
              <w:widowControl w:val="0"/>
              <w:numPr>
                <w:ilvl w:val="1"/>
                <w:numId w:val="12"/>
              </w:numPr>
              <w:spacing w:before="0" w:line="259" w:lineRule="auto"/>
              <w:rPr>
                <w:rFonts w:eastAsia="Calibri"/>
                <w:szCs w:val="24"/>
              </w:rPr>
            </w:pPr>
            <w:r w:rsidRPr="00C53A2E">
              <w:rPr>
                <w:rFonts w:eastAsia="Calibri"/>
                <w:szCs w:val="24"/>
              </w:rPr>
              <w:t>articles within the scope of entry 72 of this Annex;</w:t>
            </w:r>
          </w:p>
          <w:p w14:paraId="4E8EB8FE" w14:textId="674BDFD4" w:rsidR="00E93113" w:rsidRPr="00C53A2E" w:rsidRDefault="00E93113" w:rsidP="00E93113">
            <w:pPr>
              <w:widowControl w:val="0"/>
              <w:numPr>
                <w:ilvl w:val="1"/>
                <w:numId w:val="12"/>
              </w:numPr>
              <w:spacing w:before="0" w:line="259" w:lineRule="auto"/>
              <w:rPr>
                <w:rFonts w:eastAsia="Calibri"/>
                <w:szCs w:val="24"/>
              </w:rPr>
            </w:pPr>
            <w:r w:rsidRPr="00C53A2E">
              <w:rPr>
                <w:rFonts w:eastAsia="Calibri"/>
                <w:szCs w:val="24"/>
              </w:rPr>
              <w:t>articles that are biocidal products within the scope of Regulation (EU) 528/2012 of the European Parliament and of the Council</w:t>
            </w:r>
            <w:r>
              <w:rPr>
                <w:rFonts w:eastAsia="Calibri"/>
                <w:szCs w:val="24"/>
              </w:rPr>
              <w:t>*</w:t>
            </w:r>
            <w:r w:rsidRPr="00C53A2E">
              <w:rPr>
                <w:rFonts w:eastAsia="Calibri"/>
                <w:szCs w:val="24"/>
              </w:rPr>
              <w:t>;</w:t>
            </w:r>
          </w:p>
          <w:p w14:paraId="545BC602" w14:textId="74B3A050" w:rsidR="00E93113" w:rsidRPr="00C53A2E" w:rsidRDefault="00E93113" w:rsidP="00E93113">
            <w:pPr>
              <w:widowControl w:val="0"/>
              <w:numPr>
                <w:ilvl w:val="1"/>
                <w:numId w:val="12"/>
              </w:numPr>
              <w:spacing w:before="0" w:line="259" w:lineRule="auto"/>
              <w:rPr>
                <w:rFonts w:eastAsia="Calibri"/>
                <w:szCs w:val="24"/>
              </w:rPr>
            </w:pPr>
            <w:r w:rsidRPr="00C53A2E">
              <w:rPr>
                <w:rFonts w:eastAsia="Calibri"/>
                <w:szCs w:val="24"/>
              </w:rPr>
              <w:t>devices within the scope of Regulation (EU) 2017/745;</w:t>
            </w:r>
          </w:p>
          <w:p w14:paraId="5FC81D7B" w14:textId="40F323A2" w:rsidR="00E93113" w:rsidRPr="00C53A2E" w:rsidRDefault="00E93113" w:rsidP="00E93113">
            <w:pPr>
              <w:widowControl w:val="0"/>
              <w:numPr>
                <w:ilvl w:val="1"/>
                <w:numId w:val="12"/>
              </w:numPr>
              <w:spacing w:before="0" w:line="259" w:lineRule="auto"/>
              <w:rPr>
                <w:rFonts w:eastAsia="Calibri"/>
                <w:szCs w:val="24"/>
              </w:rPr>
            </w:pPr>
            <w:r w:rsidRPr="00C53A2E">
              <w:rPr>
                <w:rFonts w:eastAsia="Calibri"/>
                <w:szCs w:val="24"/>
              </w:rPr>
              <w:t>personal protective equipment within the scope of Regulation (EU) 2016/425;</w:t>
            </w:r>
          </w:p>
          <w:p w14:paraId="1B1FE0F6" w14:textId="76F41A71" w:rsidR="00E93113" w:rsidRPr="000B591F" w:rsidRDefault="00E93113" w:rsidP="000B591F">
            <w:pPr>
              <w:widowControl w:val="0"/>
              <w:numPr>
                <w:ilvl w:val="1"/>
                <w:numId w:val="12"/>
              </w:numPr>
              <w:spacing w:before="0" w:line="259" w:lineRule="auto"/>
              <w:rPr>
                <w:rFonts w:eastAsia="Calibri"/>
                <w:szCs w:val="24"/>
              </w:rPr>
            </w:pPr>
            <w:r w:rsidRPr="000B591F">
              <w:rPr>
                <w:rFonts w:eastAsia="Calibri"/>
                <w:szCs w:val="24"/>
              </w:rPr>
              <w:t xml:space="preserve">articles </w:t>
            </w:r>
            <w:r w:rsidR="00A81911" w:rsidRPr="000B591F">
              <w:rPr>
                <w:rFonts w:eastAsia="Calibri"/>
                <w:szCs w:val="24"/>
              </w:rPr>
              <w:t>intended to come into contact directly or indirectly with food</w:t>
            </w:r>
            <w:r w:rsidR="00A81911">
              <w:rPr>
                <w:rFonts w:eastAsia="Calibri"/>
                <w:szCs w:val="24"/>
              </w:rPr>
              <w:t xml:space="preserve"> </w:t>
            </w:r>
            <w:r w:rsidRPr="000B591F">
              <w:rPr>
                <w:rFonts w:eastAsia="Calibri"/>
                <w:szCs w:val="24"/>
              </w:rPr>
              <w:t>within the scope of Regulation (EC) No 1935/2004;</w:t>
            </w:r>
          </w:p>
          <w:p w14:paraId="3105F8B6" w14:textId="77777777" w:rsidR="00E93113" w:rsidRDefault="00E93113" w:rsidP="00E93113">
            <w:pPr>
              <w:widowControl w:val="0"/>
              <w:numPr>
                <w:ilvl w:val="1"/>
                <w:numId w:val="12"/>
              </w:numPr>
              <w:spacing w:before="0" w:line="259" w:lineRule="auto"/>
              <w:rPr>
                <w:rFonts w:eastAsia="Calibri"/>
                <w:szCs w:val="24"/>
              </w:rPr>
            </w:pPr>
            <w:r w:rsidRPr="00C53A2E">
              <w:rPr>
                <w:rFonts w:eastAsia="Calibri"/>
                <w:szCs w:val="24"/>
              </w:rPr>
              <w:t xml:space="preserve"> second-hand articles.</w:t>
            </w:r>
          </w:p>
          <w:p w14:paraId="65CF0D92" w14:textId="77777777" w:rsidR="00E93113" w:rsidRPr="00C53A2E" w:rsidRDefault="00E93113" w:rsidP="00400EAA">
            <w:pPr>
              <w:widowControl w:val="0"/>
              <w:spacing w:before="0" w:line="259" w:lineRule="auto"/>
              <w:rPr>
                <w:rFonts w:eastAsia="Calibri"/>
                <w:szCs w:val="24"/>
              </w:rPr>
            </w:pPr>
          </w:p>
          <w:p w14:paraId="1DF257CE" w14:textId="137EF8FD" w:rsidR="0045525D" w:rsidRPr="00C53A2E" w:rsidRDefault="007A30EC" w:rsidP="00400EAA">
            <w:pPr>
              <w:widowControl w:val="0"/>
              <w:numPr>
                <w:ilvl w:val="0"/>
                <w:numId w:val="1"/>
              </w:numPr>
              <w:spacing w:before="0" w:after="240" w:line="259" w:lineRule="auto"/>
              <w:rPr>
                <w:rFonts w:eastAsia="Calibri"/>
                <w:szCs w:val="24"/>
              </w:rPr>
            </w:pPr>
            <w:r w:rsidRPr="00C53A2E">
              <w:rPr>
                <w:rFonts w:eastAsia="Calibri"/>
                <w:szCs w:val="24"/>
              </w:rPr>
              <w:t>S</w:t>
            </w:r>
            <w:r w:rsidR="00336657" w:rsidRPr="00C53A2E">
              <w:rPr>
                <w:rFonts w:eastAsia="Calibri"/>
                <w:szCs w:val="24"/>
              </w:rPr>
              <w:t xml:space="preserve">hall not be placed on the market </w:t>
            </w:r>
            <w:r w:rsidRPr="00C53A2E">
              <w:rPr>
                <w:rFonts w:eastAsia="Calibri"/>
                <w:szCs w:val="24"/>
              </w:rPr>
              <w:t xml:space="preserve">in </w:t>
            </w:r>
            <w:r w:rsidR="00A242C9" w:rsidRPr="00C53A2E">
              <w:rPr>
                <w:rFonts w:eastAsia="Calibri"/>
                <w:szCs w:val="24"/>
              </w:rPr>
              <w:t xml:space="preserve">road </w:t>
            </w:r>
            <w:r w:rsidR="00A242C9" w:rsidRPr="00C53A2E">
              <w:rPr>
                <w:rFonts w:eastAsia="Calibri"/>
                <w:szCs w:val="24"/>
              </w:rPr>
              <w:lastRenderedPageBreak/>
              <w:t>vehicles</w:t>
            </w:r>
            <w:r w:rsidR="00C114CF" w:rsidRPr="00C53A2E">
              <w:rPr>
                <w:rFonts w:eastAsia="Calibri"/>
                <w:szCs w:val="24"/>
              </w:rPr>
              <w:t xml:space="preserve"> </w:t>
            </w:r>
            <w:r w:rsidR="00810E1B" w:rsidRPr="00C53A2E">
              <w:rPr>
                <w:rFonts w:eastAsia="Calibri"/>
                <w:szCs w:val="24"/>
              </w:rPr>
              <w:t>after [</w:t>
            </w:r>
            <w:r w:rsidR="00810E1B" w:rsidRPr="00C53A2E">
              <w:rPr>
                <w:rFonts w:eastAsia="Calibri"/>
                <w:i/>
                <w:szCs w:val="24"/>
              </w:rPr>
              <w:t xml:space="preserve">OP, please insert the date: </w:t>
            </w:r>
            <w:r w:rsidR="001B0979" w:rsidRPr="00C53A2E">
              <w:rPr>
                <w:rFonts w:eastAsia="Calibri"/>
                <w:i/>
                <w:szCs w:val="24"/>
              </w:rPr>
              <w:t>48</w:t>
            </w:r>
            <w:r w:rsidR="00810E1B" w:rsidRPr="00C53A2E">
              <w:rPr>
                <w:rFonts w:eastAsia="Calibri"/>
                <w:i/>
                <w:szCs w:val="24"/>
              </w:rPr>
              <w:t xml:space="preserve"> months after the</w:t>
            </w:r>
            <w:r w:rsidR="00515330">
              <w:rPr>
                <w:rFonts w:eastAsia="Calibri"/>
                <w:i/>
                <w:szCs w:val="24"/>
              </w:rPr>
              <w:t xml:space="preserve"> date of</w:t>
            </w:r>
            <w:r w:rsidR="00810E1B" w:rsidRPr="00C53A2E">
              <w:rPr>
                <w:rFonts w:eastAsia="Calibri"/>
                <w:i/>
                <w:szCs w:val="24"/>
              </w:rPr>
              <w:t xml:space="preserve"> entry into force of this amending Regulation</w:t>
            </w:r>
            <w:r w:rsidR="00810E1B" w:rsidRPr="00C53A2E">
              <w:rPr>
                <w:rFonts w:eastAsia="Calibri"/>
                <w:szCs w:val="24"/>
              </w:rPr>
              <w:t>]</w:t>
            </w:r>
            <w:r w:rsidR="008243F5" w:rsidRPr="00C53A2E">
              <w:rPr>
                <w:rFonts w:eastAsia="Calibri"/>
                <w:szCs w:val="24"/>
              </w:rPr>
              <w:t xml:space="preserve"> </w:t>
            </w:r>
            <w:r w:rsidR="00810E1B" w:rsidRPr="00C53A2E">
              <w:rPr>
                <w:rFonts w:eastAsia="Calibri"/>
                <w:szCs w:val="24"/>
              </w:rPr>
              <w:t xml:space="preserve">where formaldehyde or formaldehyde releasing </w:t>
            </w:r>
            <w:r w:rsidR="00810E1B" w:rsidRPr="00515330">
              <w:rPr>
                <w:rFonts w:eastAsia="Calibri"/>
                <w:szCs w:val="24"/>
              </w:rPr>
              <w:t xml:space="preserve">substances have been intentionally added </w:t>
            </w:r>
            <w:r w:rsidR="00065182" w:rsidRPr="00F17F3F">
              <w:rPr>
                <w:rFonts w:eastAsia="Calibri"/>
                <w:szCs w:val="24"/>
              </w:rPr>
              <w:t>during</w:t>
            </w:r>
            <w:r w:rsidR="00810E1B" w:rsidRPr="00F17F3F">
              <w:rPr>
                <w:rFonts w:eastAsia="Calibri"/>
                <w:szCs w:val="24"/>
              </w:rPr>
              <w:t xml:space="preserve"> their</w:t>
            </w:r>
            <w:r w:rsidR="00810E1B" w:rsidRPr="00C53A2E">
              <w:rPr>
                <w:rFonts w:eastAsia="Calibri"/>
                <w:szCs w:val="24"/>
              </w:rPr>
              <w:t xml:space="preserve"> production, </w:t>
            </w:r>
            <w:r w:rsidR="00336657" w:rsidRPr="00C53A2E">
              <w:rPr>
                <w:rFonts w:eastAsia="Calibri"/>
                <w:szCs w:val="24"/>
              </w:rPr>
              <w:t>if</w:t>
            </w:r>
            <w:r w:rsidR="00C52B17" w:rsidRPr="00C53A2E">
              <w:rPr>
                <w:rFonts w:eastAsia="Calibri"/>
                <w:szCs w:val="24"/>
              </w:rPr>
              <w:t>,</w:t>
            </w:r>
            <w:r w:rsidR="00336657" w:rsidRPr="00C53A2E">
              <w:rPr>
                <w:rFonts w:eastAsia="Calibri"/>
                <w:szCs w:val="24"/>
              </w:rPr>
              <w:t xml:space="preserve"> </w:t>
            </w:r>
            <w:r w:rsidR="00C52B17" w:rsidRPr="00C53A2E">
              <w:rPr>
                <w:rFonts w:eastAsia="Calibri"/>
                <w:szCs w:val="24"/>
              </w:rPr>
              <w:t xml:space="preserve">under the test conditions specified in Appendix [X], </w:t>
            </w:r>
            <w:r w:rsidR="00AD0F99" w:rsidRPr="00C53A2E">
              <w:rPr>
                <w:rFonts w:eastAsia="Calibri"/>
                <w:szCs w:val="24"/>
              </w:rPr>
              <w:t xml:space="preserve">the </w:t>
            </w:r>
            <w:r w:rsidRPr="00C53A2E">
              <w:rPr>
                <w:rFonts w:eastAsia="Calibri"/>
                <w:szCs w:val="24"/>
              </w:rPr>
              <w:t xml:space="preserve">concentration </w:t>
            </w:r>
            <w:r w:rsidR="002C7751" w:rsidRPr="00C53A2E">
              <w:rPr>
                <w:rFonts w:eastAsia="Calibri"/>
                <w:szCs w:val="24"/>
              </w:rPr>
              <w:t xml:space="preserve">of formaldehyde </w:t>
            </w:r>
            <w:r w:rsidR="00336657" w:rsidRPr="00C53A2E">
              <w:rPr>
                <w:rFonts w:eastAsia="Calibri"/>
                <w:szCs w:val="24"/>
              </w:rPr>
              <w:t xml:space="preserve">in the interior </w:t>
            </w:r>
            <w:r w:rsidRPr="00C53A2E">
              <w:rPr>
                <w:rFonts w:eastAsia="Calibri"/>
                <w:szCs w:val="24"/>
              </w:rPr>
              <w:t>of those vehicles</w:t>
            </w:r>
            <w:r w:rsidR="00324279" w:rsidRPr="00C53A2E">
              <w:rPr>
                <w:rFonts w:eastAsia="Calibri"/>
                <w:szCs w:val="24"/>
              </w:rPr>
              <w:t xml:space="preserve"> </w:t>
            </w:r>
            <w:r w:rsidR="00336657" w:rsidRPr="00C53A2E">
              <w:rPr>
                <w:rFonts w:eastAsia="Calibri"/>
                <w:szCs w:val="24"/>
              </w:rPr>
              <w:t xml:space="preserve">exceeds </w:t>
            </w:r>
            <w:r w:rsidR="0022385A" w:rsidRPr="00C53A2E">
              <w:rPr>
                <w:rFonts w:eastAsia="Calibri"/>
                <w:szCs w:val="24"/>
              </w:rPr>
              <w:t>0,</w:t>
            </w:r>
            <w:r w:rsidR="00AD0F99" w:rsidRPr="00C53A2E">
              <w:rPr>
                <w:rFonts w:eastAsia="Calibri"/>
                <w:szCs w:val="24"/>
              </w:rPr>
              <w:t>0</w:t>
            </w:r>
            <w:r w:rsidR="00A242C9" w:rsidRPr="00C53A2E">
              <w:rPr>
                <w:rFonts w:eastAsia="Calibri"/>
                <w:szCs w:val="24"/>
              </w:rPr>
              <w:t>62</w:t>
            </w:r>
            <w:r w:rsidR="00C53A2E" w:rsidRPr="00C53A2E">
              <w:rPr>
                <w:rFonts w:eastAsia="Calibri"/>
                <w:szCs w:val="24"/>
              </w:rPr>
              <w:t> mg</w:t>
            </w:r>
            <w:r w:rsidR="00336657" w:rsidRPr="00C53A2E">
              <w:rPr>
                <w:rFonts w:eastAsia="Calibri"/>
                <w:szCs w:val="24"/>
              </w:rPr>
              <w:t>/m</w:t>
            </w:r>
            <w:r w:rsidR="00336657" w:rsidRPr="00C53A2E">
              <w:rPr>
                <w:rFonts w:eastAsia="Calibri"/>
                <w:szCs w:val="24"/>
                <w:vertAlign w:val="superscript"/>
              </w:rPr>
              <w:t>3</w:t>
            </w:r>
            <w:r w:rsidR="00C813A9" w:rsidRPr="00C53A2E">
              <w:rPr>
                <w:rFonts w:eastAsia="Calibri"/>
                <w:szCs w:val="24"/>
              </w:rPr>
              <w:t>.</w:t>
            </w:r>
          </w:p>
          <w:p w14:paraId="517B8645" w14:textId="03836BAD" w:rsidR="00F177D7" w:rsidRPr="00C53A2E" w:rsidRDefault="00E93113" w:rsidP="00F17F3F">
            <w:pPr>
              <w:widowControl w:val="0"/>
              <w:spacing w:before="0" w:line="259" w:lineRule="auto"/>
              <w:ind w:left="357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The first </w:t>
            </w:r>
            <w:r w:rsidR="00535A39">
              <w:rPr>
                <w:rFonts w:eastAsia="Calibri"/>
                <w:szCs w:val="24"/>
              </w:rPr>
              <w:t>sub</w:t>
            </w:r>
            <w:r>
              <w:rPr>
                <w:rFonts w:eastAsia="Calibri"/>
                <w:szCs w:val="24"/>
              </w:rPr>
              <w:t>p</w:t>
            </w:r>
            <w:r w:rsidR="00F177D7" w:rsidRPr="00C53A2E">
              <w:rPr>
                <w:rFonts w:eastAsia="Calibri"/>
                <w:szCs w:val="24"/>
              </w:rPr>
              <w:t>aragraph</w:t>
            </w:r>
            <w:r w:rsidR="00F177D7">
              <w:rPr>
                <w:rFonts w:eastAsia="Calibri"/>
                <w:szCs w:val="24"/>
              </w:rPr>
              <w:t xml:space="preserve"> </w:t>
            </w:r>
            <w:r w:rsidR="00F177D7" w:rsidRPr="00C53A2E">
              <w:rPr>
                <w:rFonts w:eastAsia="Calibri"/>
                <w:szCs w:val="24"/>
              </w:rPr>
              <w:t xml:space="preserve">shall not apply to: </w:t>
            </w:r>
          </w:p>
          <w:p w14:paraId="08364C83" w14:textId="6AA49FD1" w:rsidR="00F177D7" w:rsidRPr="00C53A2E" w:rsidRDefault="00F177D7" w:rsidP="00F177D7">
            <w:pPr>
              <w:widowControl w:val="0"/>
              <w:numPr>
                <w:ilvl w:val="1"/>
                <w:numId w:val="12"/>
              </w:numPr>
              <w:spacing w:before="0" w:line="259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road vehicles </w:t>
            </w:r>
            <w:r w:rsidRPr="00C53A2E">
              <w:rPr>
                <w:rFonts w:eastAsia="Calibri"/>
                <w:szCs w:val="24"/>
              </w:rPr>
              <w:t xml:space="preserve">exclusively for industrial or professional use unless </w:t>
            </w:r>
            <w:r w:rsidRPr="00F177D7">
              <w:rPr>
                <w:rFonts w:eastAsia="Calibri"/>
                <w:szCs w:val="24"/>
              </w:rPr>
              <w:t xml:space="preserve">the concentration of formaldehyde in the interior of those vehicles </w:t>
            </w:r>
            <w:r w:rsidRPr="00C53A2E">
              <w:rPr>
                <w:rFonts w:eastAsia="Calibri"/>
                <w:szCs w:val="24"/>
              </w:rPr>
              <w:t>leads to exposure of the general public under foreseeable conditions of use;</w:t>
            </w:r>
          </w:p>
          <w:p w14:paraId="1931AF4C" w14:textId="35E310EA" w:rsidR="00F177D7" w:rsidRPr="00C53A2E" w:rsidRDefault="00F177D7" w:rsidP="00F177D7">
            <w:pPr>
              <w:widowControl w:val="0"/>
              <w:numPr>
                <w:ilvl w:val="1"/>
                <w:numId w:val="12"/>
              </w:numPr>
              <w:spacing w:before="0" w:line="259" w:lineRule="auto"/>
              <w:rPr>
                <w:rFonts w:eastAsia="Calibri"/>
                <w:szCs w:val="24"/>
              </w:rPr>
            </w:pPr>
            <w:r w:rsidRPr="00C53A2E">
              <w:rPr>
                <w:rFonts w:eastAsia="Calibri"/>
                <w:szCs w:val="24"/>
              </w:rPr>
              <w:t>second-hand vehicles.’</w:t>
            </w:r>
          </w:p>
        </w:tc>
      </w:tr>
    </w:tbl>
    <w:p w14:paraId="111F26D8" w14:textId="5C4077F0" w:rsidR="00065182" w:rsidRDefault="00065182" w:rsidP="00EE341E">
      <w:pPr>
        <w:pBdr>
          <w:bottom w:val="single" w:sz="6" w:space="1" w:color="auto"/>
        </w:pBdr>
        <w:autoSpaceDE w:val="0"/>
        <w:autoSpaceDN w:val="0"/>
        <w:adjustRightInd w:val="0"/>
        <w:spacing w:before="60" w:after="240"/>
        <w:jc w:val="left"/>
        <w:rPr>
          <w:rFonts w:eastAsia="Times New Roman"/>
          <w:color w:val="000000"/>
          <w:szCs w:val="24"/>
        </w:rPr>
      </w:pPr>
    </w:p>
    <w:p w14:paraId="4409751A" w14:textId="2871E81A" w:rsidR="000375F5" w:rsidRDefault="00065182" w:rsidP="00EE341E">
      <w:pPr>
        <w:autoSpaceDE w:val="0"/>
        <w:autoSpaceDN w:val="0"/>
        <w:adjustRightInd w:val="0"/>
        <w:spacing w:before="60" w:after="240"/>
        <w:jc w:val="left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*</w:t>
      </w:r>
      <w:r>
        <w:rPr>
          <w:rFonts w:eastAsia="Times New Roman"/>
          <w:color w:val="000000"/>
          <w:szCs w:val="24"/>
        </w:rPr>
        <w:tab/>
      </w:r>
      <w:r w:rsidRPr="00065182">
        <w:rPr>
          <w:rFonts w:eastAsia="Times New Roman"/>
          <w:color w:val="000000"/>
          <w:szCs w:val="24"/>
        </w:rPr>
        <w:t>Regulation (EU) No 528/2012 of the European Parliament and of the Council of 22 May 2012 concerning the making available on the market and use of biocidal products (OJ L 167, 27.6.2012, p. 1).</w:t>
      </w:r>
      <w:r w:rsidR="000375F5">
        <w:rPr>
          <w:rFonts w:eastAsia="Times New Roman"/>
          <w:color w:val="000000"/>
          <w:szCs w:val="24"/>
        </w:rPr>
        <w:t>’;</w:t>
      </w:r>
    </w:p>
    <w:p w14:paraId="0C2309A7" w14:textId="58A2BD88" w:rsidR="006B2FC0" w:rsidRDefault="006B2FC0" w:rsidP="0050783E">
      <w:pPr>
        <w:spacing w:before="0" w:after="200" w:line="276" w:lineRule="auto"/>
        <w:rPr>
          <w:rFonts w:asciiTheme="minorHAnsi" w:hAnsiTheme="minorHAnsi" w:cstheme="minorBidi"/>
          <w:sz w:val="22"/>
        </w:rPr>
      </w:pPr>
    </w:p>
    <w:p w14:paraId="764DEA63" w14:textId="77777777" w:rsidR="003845DB" w:rsidRPr="00C53A2E" w:rsidRDefault="003845DB" w:rsidP="0050783E">
      <w:pPr>
        <w:spacing w:before="0" w:after="200" w:line="276" w:lineRule="auto"/>
        <w:rPr>
          <w:rFonts w:asciiTheme="minorHAnsi" w:hAnsiTheme="minorHAnsi" w:cstheme="minorBidi"/>
          <w:sz w:val="22"/>
        </w:rPr>
      </w:pPr>
    </w:p>
    <w:p w14:paraId="325FC7A6" w14:textId="5EEFDB60" w:rsidR="0045525D" w:rsidRPr="00C53A2E" w:rsidRDefault="004464F0" w:rsidP="0045525D">
      <w:pPr>
        <w:spacing w:before="0" w:after="200" w:line="276" w:lineRule="auto"/>
        <w:jc w:val="left"/>
        <w:rPr>
          <w:szCs w:val="24"/>
        </w:rPr>
      </w:pPr>
      <w:r w:rsidRPr="00C53A2E">
        <w:rPr>
          <w:szCs w:val="24"/>
        </w:rPr>
        <w:t>(2) the following Appendix [X</w:t>
      </w:r>
      <w:r w:rsidR="0045525D" w:rsidRPr="00C53A2E">
        <w:rPr>
          <w:szCs w:val="24"/>
        </w:rPr>
        <w:t>] is added:</w:t>
      </w:r>
    </w:p>
    <w:p w14:paraId="1F7AEDD8" w14:textId="77777777" w:rsidR="0045525D" w:rsidRPr="00C53A2E" w:rsidRDefault="0045525D" w:rsidP="0045525D">
      <w:pPr>
        <w:spacing w:before="0" w:after="200" w:line="276" w:lineRule="auto"/>
        <w:jc w:val="left"/>
        <w:rPr>
          <w:szCs w:val="24"/>
        </w:rPr>
      </w:pPr>
    </w:p>
    <w:p w14:paraId="4A033655" w14:textId="779ED869" w:rsidR="0045525D" w:rsidRPr="00C53A2E" w:rsidRDefault="004464F0" w:rsidP="0045525D">
      <w:pPr>
        <w:spacing w:before="0" w:after="200" w:line="276" w:lineRule="auto"/>
        <w:jc w:val="center"/>
        <w:rPr>
          <w:szCs w:val="24"/>
        </w:rPr>
      </w:pPr>
      <w:r w:rsidRPr="00C53A2E">
        <w:rPr>
          <w:szCs w:val="24"/>
        </w:rPr>
        <w:t>‘Appendix [X</w:t>
      </w:r>
      <w:r w:rsidR="0045525D" w:rsidRPr="00C53A2E">
        <w:rPr>
          <w:szCs w:val="24"/>
        </w:rPr>
        <w:t>]</w:t>
      </w:r>
    </w:p>
    <w:p w14:paraId="7CBFF07C" w14:textId="419A7DAC" w:rsidR="00DD2FEA" w:rsidRPr="00C53A2E" w:rsidRDefault="00DD2FEA" w:rsidP="006556CE">
      <w:pPr>
        <w:spacing w:before="0" w:after="200" w:line="276" w:lineRule="auto"/>
        <w:rPr>
          <w:szCs w:val="24"/>
        </w:rPr>
      </w:pPr>
    </w:p>
    <w:p w14:paraId="3188FB42" w14:textId="3CDFF123" w:rsidR="00DD2FEA" w:rsidRPr="00C53A2E" w:rsidRDefault="00DD2FEA" w:rsidP="006556CE">
      <w:pPr>
        <w:spacing w:before="0" w:after="200" w:line="276" w:lineRule="auto"/>
        <w:rPr>
          <w:b/>
          <w:szCs w:val="24"/>
        </w:rPr>
      </w:pPr>
      <w:r w:rsidRPr="00C53A2E">
        <w:rPr>
          <w:b/>
          <w:szCs w:val="24"/>
        </w:rPr>
        <w:t xml:space="preserve">1. </w:t>
      </w:r>
      <w:r w:rsidR="00F97AA3" w:rsidRPr="00C53A2E">
        <w:rPr>
          <w:b/>
          <w:szCs w:val="24"/>
        </w:rPr>
        <w:t xml:space="preserve">Measurement of formaldehyde </w:t>
      </w:r>
      <w:r w:rsidRPr="00C53A2E">
        <w:rPr>
          <w:b/>
          <w:szCs w:val="24"/>
        </w:rPr>
        <w:t>released</w:t>
      </w:r>
      <w:r w:rsidR="000F2082" w:rsidRPr="000F2082">
        <w:t xml:space="preserve"> </w:t>
      </w:r>
      <w:r w:rsidR="000F2082" w:rsidRPr="000F2082">
        <w:rPr>
          <w:b/>
          <w:szCs w:val="24"/>
        </w:rPr>
        <w:t>to indoor air</w:t>
      </w:r>
      <w:r w:rsidRPr="00C53A2E">
        <w:rPr>
          <w:b/>
          <w:szCs w:val="24"/>
        </w:rPr>
        <w:t xml:space="preserve"> from articles </w:t>
      </w:r>
      <w:r w:rsidR="00C114CF" w:rsidRPr="00C53A2E">
        <w:rPr>
          <w:b/>
          <w:szCs w:val="24"/>
        </w:rPr>
        <w:t>referred to in</w:t>
      </w:r>
      <w:r w:rsidRPr="00C53A2E">
        <w:rPr>
          <w:b/>
          <w:szCs w:val="24"/>
        </w:rPr>
        <w:t xml:space="preserve"> paragraph 1</w:t>
      </w:r>
      <w:r w:rsidR="00AA3BAC">
        <w:rPr>
          <w:b/>
          <w:szCs w:val="24"/>
        </w:rPr>
        <w:t>, first subparagraph</w:t>
      </w:r>
      <w:r w:rsidR="000B0778">
        <w:rPr>
          <w:b/>
          <w:szCs w:val="24"/>
        </w:rPr>
        <w:t>,</w:t>
      </w:r>
      <w:r w:rsidRPr="00C53A2E">
        <w:rPr>
          <w:b/>
          <w:szCs w:val="24"/>
        </w:rPr>
        <w:t xml:space="preserve"> </w:t>
      </w:r>
      <w:r w:rsidR="001F2B33" w:rsidRPr="00C53A2E">
        <w:rPr>
          <w:b/>
          <w:szCs w:val="24"/>
        </w:rPr>
        <w:t>of entry [xx]</w:t>
      </w:r>
    </w:p>
    <w:p w14:paraId="03D4A4A1" w14:textId="77986931" w:rsidR="0076463F" w:rsidRPr="000E1904" w:rsidRDefault="00083F8F" w:rsidP="00B520EC">
      <w:pPr>
        <w:spacing w:before="0" w:after="200" w:line="276" w:lineRule="auto"/>
        <w:ind w:firstLine="720"/>
        <w:rPr>
          <w:szCs w:val="24"/>
        </w:rPr>
      </w:pPr>
      <w:r w:rsidRPr="000E1904">
        <w:rPr>
          <w:szCs w:val="24"/>
        </w:rPr>
        <w:t xml:space="preserve">1.1 </w:t>
      </w:r>
      <w:r w:rsidR="001C3288" w:rsidRPr="000E1904">
        <w:rPr>
          <w:szCs w:val="24"/>
        </w:rPr>
        <w:t>R</w:t>
      </w:r>
      <w:r w:rsidRPr="000E1904">
        <w:rPr>
          <w:szCs w:val="24"/>
        </w:rPr>
        <w:t>eference conditions</w:t>
      </w:r>
      <w:r w:rsidR="00520198" w:rsidRPr="000E1904">
        <w:rPr>
          <w:szCs w:val="24"/>
        </w:rPr>
        <w:t xml:space="preserve"> </w:t>
      </w:r>
    </w:p>
    <w:p w14:paraId="6F1BD4C3" w14:textId="6B5096B0" w:rsidR="00DD2FEA" w:rsidRPr="00C53A2E" w:rsidRDefault="00DD2FEA" w:rsidP="006556CE">
      <w:pPr>
        <w:spacing w:before="0" w:after="200" w:line="276" w:lineRule="auto"/>
        <w:rPr>
          <w:szCs w:val="24"/>
        </w:rPr>
      </w:pPr>
      <w:r w:rsidRPr="000E1904">
        <w:rPr>
          <w:szCs w:val="24"/>
        </w:rPr>
        <w:t xml:space="preserve">The formaldehyde released from articles </w:t>
      </w:r>
      <w:r w:rsidR="00C114CF" w:rsidRPr="000E1904">
        <w:rPr>
          <w:szCs w:val="24"/>
        </w:rPr>
        <w:t xml:space="preserve">referred to </w:t>
      </w:r>
      <w:r w:rsidRPr="000E1904">
        <w:rPr>
          <w:szCs w:val="24"/>
        </w:rPr>
        <w:t>i</w:t>
      </w:r>
      <w:r w:rsidR="0022385A" w:rsidRPr="000E1904">
        <w:rPr>
          <w:szCs w:val="24"/>
        </w:rPr>
        <w:t>n</w:t>
      </w:r>
      <w:r w:rsidR="000B0778" w:rsidRPr="000E1904">
        <w:rPr>
          <w:szCs w:val="24"/>
        </w:rPr>
        <w:t xml:space="preserve"> paragraph 1,</w:t>
      </w:r>
      <w:r w:rsidR="0022385A" w:rsidRPr="000E1904">
        <w:rPr>
          <w:szCs w:val="24"/>
        </w:rPr>
        <w:t xml:space="preserve"> </w:t>
      </w:r>
      <w:r w:rsidR="00AA3BAC" w:rsidRPr="000E1904">
        <w:rPr>
          <w:szCs w:val="24"/>
        </w:rPr>
        <w:t>first subparagraph</w:t>
      </w:r>
      <w:r w:rsidR="0022385A" w:rsidRPr="000E1904">
        <w:rPr>
          <w:szCs w:val="24"/>
        </w:rPr>
        <w:t xml:space="preserve"> of</w:t>
      </w:r>
      <w:r w:rsidRPr="000E1904">
        <w:rPr>
          <w:szCs w:val="24"/>
        </w:rPr>
        <w:t xml:space="preserve"> entry </w:t>
      </w:r>
      <w:r w:rsidR="0022385A" w:rsidRPr="000E1904">
        <w:rPr>
          <w:szCs w:val="24"/>
        </w:rPr>
        <w:t xml:space="preserve">[xx] </w:t>
      </w:r>
      <w:r w:rsidR="00993653" w:rsidRPr="000E1904">
        <w:rPr>
          <w:szCs w:val="24"/>
        </w:rPr>
        <w:t xml:space="preserve">shall </w:t>
      </w:r>
      <w:r w:rsidR="00F97AA3" w:rsidRPr="000E1904">
        <w:rPr>
          <w:szCs w:val="24"/>
        </w:rPr>
        <w:t xml:space="preserve">be measured </w:t>
      </w:r>
      <w:r w:rsidRPr="000E1904">
        <w:rPr>
          <w:szCs w:val="24"/>
        </w:rPr>
        <w:t xml:space="preserve">in the air of a test chamber under the following </w:t>
      </w:r>
      <w:r w:rsidR="00665F45" w:rsidRPr="000E1904">
        <w:rPr>
          <w:szCs w:val="24"/>
        </w:rPr>
        <w:t xml:space="preserve">reference </w:t>
      </w:r>
      <w:r w:rsidRPr="000E1904">
        <w:rPr>
          <w:szCs w:val="24"/>
        </w:rPr>
        <w:t>conditions</w:t>
      </w:r>
      <w:r w:rsidR="009F1655" w:rsidRPr="000E1904">
        <w:rPr>
          <w:szCs w:val="24"/>
        </w:rPr>
        <w:t>:</w:t>
      </w:r>
    </w:p>
    <w:p w14:paraId="19BE291D" w14:textId="5CEDD533" w:rsidR="00DD2FEA" w:rsidRPr="00C53A2E" w:rsidRDefault="001F2B33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t>(</w:t>
      </w:r>
      <w:r w:rsidR="00DD2FEA" w:rsidRPr="00C53A2E">
        <w:rPr>
          <w:szCs w:val="24"/>
        </w:rPr>
        <w:t>a</w:t>
      </w:r>
      <w:r w:rsidRPr="00C53A2E">
        <w:rPr>
          <w:szCs w:val="24"/>
        </w:rPr>
        <w:t>)</w:t>
      </w:r>
      <w:r w:rsidR="00DD2FEA" w:rsidRPr="00C53A2E">
        <w:rPr>
          <w:szCs w:val="24"/>
        </w:rPr>
        <w:t xml:space="preserve"> </w:t>
      </w:r>
      <w:r w:rsidR="000375F5">
        <w:rPr>
          <w:szCs w:val="24"/>
        </w:rPr>
        <w:t>t</w:t>
      </w:r>
      <w:r w:rsidR="00DD2FEA" w:rsidRPr="00C53A2E">
        <w:rPr>
          <w:szCs w:val="24"/>
        </w:rPr>
        <w:t>he temperature in the test chamber shall be (23 ± 0</w:t>
      </w:r>
      <w:r w:rsidR="00993653" w:rsidRPr="00C53A2E">
        <w:rPr>
          <w:szCs w:val="24"/>
        </w:rPr>
        <w:t>,</w:t>
      </w:r>
      <w:r w:rsidR="00DD2FEA" w:rsidRPr="00C53A2E">
        <w:rPr>
          <w:szCs w:val="24"/>
        </w:rPr>
        <w:t>5) ⁰C</w:t>
      </w:r>
      <w:r w:rsidR="000375F5">
        <w:rPr>
          <w:szCs w:val="24"/>
        </w:rPr>
        <w:t>;</w:t>
      </w:r>
      <w:r w:rsidR="00DD2FEA" w:rsidRPr="00C53A2E">
        <w:rPr>
          <w:szCs w:val="24"/>
        </w:rPr>
        <w:t xml:space="preserve"> </w:t>
      </w:r>
    </w:p>
    <w:p w14:paraId="2F3C0325" w14:textId="69BAFACF" w:rsidR="00DD2FEA" w:rsidRPr="00C53A2E" w:rsidRDefault="001F2B33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t>(</w:t>
      </w:r>
      <w:r w:rsidR="00DD2FEA" w:rsidRPr="00C53A2E">
        <w:rPr>
          <w:szCs w:val="24"/>
        </w:rPr>
        <w:t>b</w:t>
      </w:r>
      <w:r w:rsidRPr="00C53A2E">
        <w:rPr>
          <w:szCs w:val="24"/>
        </w:rPr>
        <w:t>)</w:t>
      </w:r>
      <w:r w:rsidR="00DD2FEA" w:rsidRPr="00C53A2E">
        <w:rPr>
          <w:szCs w:val="24"/>
        </w:rPr>
        <w:t xml:space="preserve"> </w:t>
      </w:r>
      <w:r w:rsidR="000375F5">
        <w:rPr>
          <w:szCs w:val="24"/>
        </w:rPr>
        <w:t>t</w:t>
      </w:r>
      <w:r w:rsidR="00DD2FEA" w:rsidRPr="00C53A2E">
        <w:rPr>
          <w:szCs w:val="24"/>
        </w:rPr>
        <w:t>he relative humidity in the test chamber shall be (45 ± 3) %</w:t>
      </w:r>
      <w:r w:rsidR="000375F5">
        <w:rPr>
          <w:szCs w:val="24"/>
        </w:rPr>
        <w:t>;</w:t>
      </w:r>
      <w:r w:rsidR="00DD2FEA" w:rsidRPr="00C53A2E">
        <w:rPr>
          <w:szCs w:val="24"/>
        </w:rPr>
        <w:t xml:space="preserve"> </w:t>
      </w:r>
    </w:p>
    <w:p w14:paraId="2C517277" w14:textId="7A5B1257" w:rsidR="00DD2FEA" w:rsidRPr="00C53A2E" w:rsidRDefault="001F2B33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lastRenderedPageBreak/>
        <w:t>(</w:t>
      </w:r>
      <w:r w:rsidR="00DD2FEA" w:rsidRPr="00C53A2E">
        <w:rPr>
          <w:szCs w:val="24"/>
        </w:rPr>
        <w:t>c</w:t>
      </w:r>
      <w:r w:rsidRPr="00C53A2E">
        <w:rPr>
          <w:szCs w:val="24"/>
        </w:rPr>
        <w:t>)</w:t>
      </w:r>
      <w:r w:rsidR="00DD2FEA" w:rsidRPr="00C53A2E">
        <w:rPr>
          <w:szCs w:val="24"/>
        </w:rPr>
        <w:t xml:space="preserve"> </w:t>
      </w:r>
      <w:r w:rsidR="000375F5">
        <w:rPr>
          <w:szCs w:val="24"/>
        </w:rPr>
        <w:t>t</w:t>
      </w:r>
      <w:r w:rsidR="00DD2FEA" w:rsidRPr="00C53A2E">
        <w:rPr>
          <w:szCs w:val="24"/>
        </w:rPr>
        <w:t>he loading factor, expressed as the ratio of the total surface area of the test piece to the volume of the test chamber, shall be (1 ± 0</w:t>
      </w:r>
      <w:r w:rsidR="00993653" w:rsidRPr="00C53A2E">
        <w:rPr>
          <w:szCs w:val="24"/>
        </w:rPr>
        <w:t>,</w:t>
      </w:r>
      <w:r w:rsidR="00DD2FEA" w:rsidRPr="00C53A2E">
        <w:rPr>
          <w:szCs w:val="24"/>
        </w:rPr>
        <w:t>02) m</w:t>
      </w:r>
      <w:r w:rsidR="00DD2FEA" w:rsidRPr="00C53A2E">
        <w:rPr>
          <w:szCs w:val="24"/>
          <w:vertAlign w:val="superscript"/>
        </w:rPr>
        <w:t>2</w:t>
      </w:r>
      <w:r w:rsidR="00DD2FEA" w:rsidRPr="00C53A2E">
        <w:rPr>
          <w:szCs w:val="24"/>
        </w:rPr>
        <w:t>/m</w:t>
      </w:r>
      <w:r w:rsidR="00DD2FEA" w:rsidRPr="00C53A2E">
        <w:rPr>
          <w:szCs w:val="24"/>
          <w:vertAlign w:val="superscript"/>
        </w:rPr>
        <w:t>3</w:t>
      </w:r>
      <w:r w:rsidR="000375F5" w:rsidRPr="00400EAA">
        <w:rPr>
          <w:szCs w:val="24"/>
        </w:rPr>
        <w:t>;</w:t>
      </w:r>
      <w:r w:rsidR="00DD2FEA" w:rsidRPr="00C53A2E">
        <w:rPr>
          <w:szCs w:val="24"/>
        </w:rPr>
        <w:t xml:space="preserve"> </w:t>
      </w:r>
      <w:r w:rsidR="000375F5">
        <w:rPr>
          <w:szCs w:val="24"/>
        </w:rPr>
        <w:t>i</w:t>
      </w:r>
      <w:r w:rsidR="00083F8F" w:rsidRPr="00C53A2E">
        <w:rPr>
          <w:szCs w:val="24"/>
        </w:rPr>
        <w:t xml:space="preserve">n cases where such a loading factor </w:t>
      </w:r>
      <w:r w:rsidR="003F07FD" w:rsidRPr="00C53A2E">
        <w:rPr>
          <w:szCs w:val="24"/>
        </w:rPr>
        <w:t xml:space="preserve">is </w:t>
      </w:r>
      <w:r w:rsidR="00083F8F" w:rsidRPr="00C53A2E">
        <w:rPr>
          <w:szCs w:val="24"/>
        </w:rPr>
        <w:t xml:space="preserve">clearly not realistic under reasonably foreseeable conditions of use, loading factors in accordance with </w:t>
      </w:r>
      <w:r w:rsidR="001C1ED6">
        <w:rPr>
          <w:szCs w:val="24"/>
        </w:rPr>
        <w:t>S</w:t>
      </w:r>
      <w:r w:rsidR="00083F8F" w:rsidRPr="00C53A2E">
        <w:rPr>
          <w:szCs w:val="24"/>
        </w:rPr>
        <w:t>ection 4.2.2 of EN 16516</w:t>
      </w:r>
      <w:r w:rsidR="003F07FD" w:rsidRPr="00C53A2E">
        <w:rPr>
          <w:rStyle w:val="FootnoteReference"/>
          <w:szCs w:val="24"/>
        </w:rPr>
        <w:footnoteReference w:id="1"/>
      </w:r>
      <w:r w:rsidR="00083F8F" w:rsidRPr="00C53A2E">
        <w:rPr>
          <w:szCs w:val="24"/>
        </w:rPr>
        <w:t xml:space="preserve"> </w:t>
      </w:r>
      <w:r w:rsidR="003F07FD" w:rsidRPr="00C53A2E">
        <w:rPr>
          <w:szCs w:val="24"/>
        </w:rPr>
        <w:t xml:space="preserve">may </w:t>
      </w:r>
      <w:r w:rsidR="00083F8F" w:rsidRPr="00C53A2E">
        <w:rPr>
          <w:szCs w:val="24"/>
        </w:rPr>
        <w:t>be used</w:t>
      </w:r>
      <w:r w:rsidR="000375F5">
        <w:rPr>
          <w:szCs w:val="24"/>
        </w:rPr>
        <w:t>;</w:t>
      </w:r>
    </w:p>
    <w:p w14:paraId="4BA118C5" w14:textId="74175BE5" w:rsidR="00DD2FEA" w:rsidRPr="00C53A2E" w:rsidRDefault="001F2B33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t>(</w:t>
      </w:r>
      <w:r w:rsidR="00DD2FEA" w:rsidRPr="00C53A2E">
        <w:rPr>
          <w:szCs w:val="24"/>
        </w:rPr>
        <w:t>d</w:t>
      </w:r>
      <w:r w:rsidRPr="00C53A2E">
        <w:rPr>
          <w:szCs w:val="24"/>
        </w:rPr>
        <w:t>)</w:t>
      </w:r>
      <w:r w:rsidR="00DD2FEA" w:rsidRPr="00C53A2E">
        <w:rPr>
          <w:szCs w:val="24"/>
        </w:rPr>
        <w:t xml:space="preserve"> </w:t>
      </w:r>
      <w:r w:rsidR="000375F5">
        <w:rPr>
          <w:szCs w:val="24"/>
        </w:rPr>
        <w:t>t</w:t>
      </w:r>
      <w:r w:rsidR="00DD2FEA" w:rsidRPr="00C53A2E">
        <w:rPr>
          <w:szCs w:val="24"/>
        </w:rPr>
        <w:t>he air exchange rate in the test chamber shall be (1 ± 0</w:t>
      </w:r>
      <w:r w:rsidR="003F07FD" w:rsidRPr="00C53A2E">
        <w:rPr>
          <w:szCs w:val="24"/>
        </w:rPr>
        <w:t>,</w:t>
      </w:r>
      <w:r w:rsidR="00DD2FEA" w:rsidRPr="00C53A2E">
        <w:rPr>
          <w:szCs w:val="24"/>
        </w:rPr>
        <w:t>05) h</w:t>
      </w:r>
      <w:r w:rsidR="00DD2FEA" w:rsidRPr="00C53A2E">
        <w:rPr>
          <w:szCs w:val="24"/>
          <w:vertAlign w:val="superscript"/>
        </w:rPr>
        <w:t>-1</w:t>
      </w:r>
      <w:r w:rsidR="000375F5">
        <w:rPr>
          <w:szCs w:val="24"/>
        </w:rPr>
        <w:t>;</w:t>
      </w:r>
      <w:r w:rsidR="00DD2FEA" w:rsidRPr="00C53A2E">
        <w:rPr>
          <w:szCs w:val="24"/>
        </w:rPr>
        <w:t xml:space="preserve"> </w:t>
      </w:r>
    </w:p>
    <w:p w14:paraId="7E4019BA" w14:textId="5C328CAE" w:rsidR="00DD2FEA" w:rsidRPr="00C53A2E" w:rsidRDefault="001F2B33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t xml:space="preserve">(e) </w:t>
      </w:r>
      <w:r w:rsidR="000375F5">
        <w:rPr>
          <w:szCs w:val="24"/>
        </w:rPr>
        <w:t>a</w:t>
      </w:r>
      <w:r w:rsidR="00DD2FEA" w:rsidRPr="00C53A2E">
        <w:rPr>
          <w:szCs w:val="24"/>
        </w:rPr>
        <w:t>n appropriate analytical procedure</w:t>
      </w:r>
      <w:r w:rsidR="006B2040">
        <w:rPr>
          <w:szCs w:val="24"/>
        </w:rPr>
        <w:t xml:space="preserve">, </w:t>
      </w:r>
      <w:r w:rsidR="00DD2FEA" w:rsidRPr="00C53A2E">
        <w:rPr>
          <w:szCs w:val="24"/>
        </w:rPr>
        <w:t xml:space="preserve"> to measure the formaldehyde concentration in the test chamber shall be used</w:t>
      </w:r>
      <w:r w:rsidR="000375F5">
        <w:rPr>
          <w:szCs w:val="24"/>
        </w:rPr>
        <w:t>;</w:t>
      </w:r>
      <w:r w:rsidR="00DD2FEA" w:rsidRPr="00C53A2E">
        <w:rPr>
          <w:szCs w:val="24"/>
        </w:rPr>
        <w:t xml:space="preserve"> </w:t>
      </w:r>
    </w:p>
    <w:p w14:paraId="7C27DE71" w14:textId="50B18A4F" w:rsidR="00DD2FEA" w:rsidRPr="00C53A2E" w:rsidRDefault="001F2B33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t>(</w:t>
      </w:r>
      <w:r w:rsidR="00DD2FEA" w:rsidRPr="00C53A2E">
        <w:rPr>
          <w:szCs w:val="24"/>
        </w:rPr>
        <w:t>f</w:t>
      </w:r>
      <w:r w:rsidRPr="00C53A2E">
        <w:rPr>
          <w:szCs w:val="24"/>
        </w:rPr>
        <w:t>)</w:t>
      </w:r>
      <w:r w:rsidR="00DD2FEA" w:rsidRPr="00C53A2E">
        <w:rPr>
          <w:szCs w:val="24"/>
        </w:rPr>
        <w:t xml:space="preserve"> </w:t>
      </w:r>
      <w:r w:rsidR="000375F5">
        <w:rPr>
          <w:szCs w:val="24"/>
        </w:rPr>
        <w:t>a</w:t>
      </w:r>
      <w:r w:rsidR="00DD2FEA" w:rsidRPr="00C53A2E">
        <w:rPr>
          <w:szCs w:val="24"/>
        </w:rPr>
        <w:t>n appropriate method for sampling of the test pieces shall be used</w:t>
      </w:r>
      <w:r w:rsidR="000375F5">
        <w:rPr>
          <w:szCs w:val="24"/>
        </w:rPr>
        <w:t>;</w:t>
      </w:r>
      <w:r w:rsidR="00DD2FEA" w:rsidRPr="00C53A2E">
        <w:rPr>
          <w:szCs w:val="24"/>
        </w:rPr>
        <w:t xml:space="preserve"> </w:t>
      </w:r>
    </w:p>
    <w:p w14:paraId="208D8838" w14:textId="549B21F4" w:rsidR="00DD2FEA" w:rsidRPr="00C53A2E" w:rsidRDefault="001F2B33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t>(</w:t>
      </w:r>
      <w:r w:rsidR="00DD2FEA" w:rsidRPr="00C53A2E">
        <w:rPr>
          <w:szCs w:val="24"/>
        </w:rPr>
        <w:t>g</w:t>
      </w:r>
      <w:r w:rsidRPr="00C53A2E">
        <w:rPr>
          <w:szCs w:val="24"/>
        </w:rPr>
        <w:t>)</w:t>
      </w:r>
      <w:r w:rsidR="00DD2FEA" w:rsidRPr="00C53A2E">
        <w:rPr>
          <w:szCs w:val="24"/>
        </w:rPr>
        <w:t xml:space="preserve"> </w:t>
      </w:r>
      <w:r w:rsidR="000375F5">
        <w:rPr>
          <w:szCs w:val="24"/>
        </w:rPr>
        <w:t>t</w:t>
      </w:r>
      <w:r w:rsidR="00DD2FEA" w:rsidRPr="00C53A2E">
        <w:rPr>
          <w:szCs w:val="24"/>
        </w:rPr>
        <w:t xml:space="preserve">he formaldehyde concentration in the air of the test chamber shall be measured at least twice per day throughout the test with a time interval between two consecutive samplings of </w:t>
      </w:r>
      <w:r w:rsidR="009A152E">
        <w:rPr>
          <w:szCs w:val="24"/>
        </w:rPr>
        <w:t>3</w:t>
      </w:r>
      <w:r w:rsidR="00DD2FEA" w:rsidRPr="00C53A2E">
        <w:rPr>
          <w:szCs w:val="24"/>
        </w:rPr>
        <w:t xml:space="preserve"> hours at a minimum</w:t>
      </w:r>
      <w:r w:rsidR="000375F5">
        <w:rPr>
          <w:szCs w:val="24"/>
        </w:rPr>
        <w:t>;</w:t>
      </w:r>
      <w:r w:rsidR="00DD2FEA" w:rsidRPr="00C53A2E">
        <w:rPr>
          <w:szCs w:val="24"/>
        </w:rPr>
        <w:t xml:space="preserve"> </w:t>
      </w:r>
      <w:r w:rsidR="000375F5">
        <w:rPr>
          <w:szCs w:val="24"/>
        </w:rPr>
        <w:t>t</w:t>
      </w:r>
      <w:r w:rsidR="00DD2FEA" w:rsidRPr="00C53A2E">
        <w:rPr>
          <w:szCs w:val="24"/>
        </w:rPr>
        <w:t>he measurement shall be repeated until sufficient data are available to determine the steady state concentration</w:t>
      </w:r>
      <w:r w:rsidR="000375F5">
        <w:rPr>
          <w:szCs w:val="24"/>
        </w:rPr>
        <w:t>;</w:t>
      </w:r>
      <w:r w:rsidR="00DD2FEA" w:rsidRPr="00C53A2E">
        <w:rPr>
          <w:szCs w:val="24"/>
        </w:rPr>
        <w:t xml:space="preserve"> </w:t>
      </w:r>
    </w:p>
    <w:p w14:paraId="70AF86DC" w14:textId="65D34D09" w:rsidR="00DD2FEA" w:rsidRPr="00C53A2E" w:rsidRDefault="001F2B33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t>(</w:t>
      </w:r>
      <w:r w:rsidR="00DD2FEA" w:rsidRPr="00C53A2E">
        <w:rPr>
          <w:szCs w:val="24"/>
        </w:rPr>
        <w:t>h</w:t>
      </w:r>
      <w:r w:rsidRPr="00C53A2E">
        <w:rPr>
          <w:szCs w:val="24"/>
        </w:rPr>
        <w:t>)</w:t>
      </w:r>
      <w:r w:rsidR="00DD2FEA" w:rsidRPr="00C53A2E">
        <w:rPr>
          <w:szCs w:val="24"/>
        </w:rPr>
        <w:t xml:space="preserve"> </w:t>
      </w:r>
      <w:r w:rsidR="000375F5">
        <w:rPr>
          <w:szCs w:val="24"/>
        </w:rPr>
        <w:t>t</w:t>
      </w:r>
      <w:r w:rsidR="00DD2FEA" w:rsidRPr="00C53A2E">
        <w:rPr>
          <w:szCs w:val="24"/>
        </w:rPr>
        <w:t>he duration of the test shall be sufficiently long to allow the determination of the steady state concentration and shall not exceed 28 days</w:t>
      </w:r>
      <w:r w:rsidR="000375F5">
        <w:rPr>
          <w:szCs w:val="24"/>
        </w:rPr>
        <w:t>;</w:t>
      </w:r>
      <w:r w:rsidR="00DD2FEA" w:rsidRPr="00C53A2E">
        <w:rPr>
          <w:szCs w:val="24"/>
        </w:rPr>
        <w:t xml:space="preserve"> </w:t>
      </w:r>
    </w:p>
    <w:p w14:paraId="372AD7C2" w14:textId="77777777" w:rsidR="00520198" w:rsidRDefault="001F2B33" w:rsidP="005D162E">
      <w:pPr>
        <w:spacing w:before="0" w:after="240" w:line="276" w:lineRule="auto"/>
        <w:rPr>
          <w:szCs w:val="24"/>
        </w:rPr>
      </w:pPr>
      <w:r w:rsidRPr="00C53A2E">
        <w:rPr>
          <w:szCs w:val="24"/>
        </w:rPr>
        <w:t>(</w:t>
      </w:r>
      <w:r w:rsidR="00DD2FEA" w:rsidRPr="00C53A2E">
        <w:rPr>
          <w:szCs w:val="24"/>
        </w:rPr>
        <w:t>i</w:t>
      </w:r>
      <w:r w:rsidRPr="00C53A2E">
        <w:rPr>
          <w:szCs w:val="24"/>
        </w:rPr>
        <w:t>)</w:t>
      </w:r>
      <w:r w:rsidR="00DD2FEA" w:rsidRPr="00C53A2E">
        <w:rPr>
          <w:szCs w:val="24"/>
        </w:rPr>
        <w:t xml:space="preserve"> </w:t>
      </w:r>
      <w:r w:rsidR="000375F5">
        <w:rPr>
          <w:szCs w:val="24"/>
        </w:rPr>
        <w:t>t</w:t>
      </w:r>
      <w:r w:rsidR="00DD2FEA" w:rsidRPr="00C53A2E">
        <w:rPr>
          <w:szCs w:val="24"/>
        </w:rPr>
        <w:t xml:space="preserve">he steady state concentration of formaldehyde measured in the test chamber shall </w:t>
      </w:r>
      <w:r w:rsidR="008A1227">
        <w:rPr>
          <w:szCs w:val="24"/>
        </w:rPr>
        <w:t>be used to verify</w:t>
      </w:r>
      <w:r w:rsidR="00DD2FEA" w:rsidRPr="00C53A2E">
        <w:rPr>
          <w:szCs w:val="24"/>
        </w:rPr>
        <w:t xml:space="preserve"> the </w:t>
      </w:r>
      <w:r w:rsidR="008A1227">
        <w:rPr>
          <w:szCs w:val="24"/>
        </w:rPr>
        <w:t xml:space="preserve">compliance with the </w:t>
      </w:r>
      <w:r w:rsidR="00DD2FEA" w:rsidRPr="00C53A2E">
        <w:rPr>
          <w:szCs w:val="24"/>
        </w:rPr>
        <w:t>limit value of formaldehyde released from articles</w:t>
      </w:r>
      <w:r w:rsidR="000F2082">
        <w:rPr>
          <w:szCs w:val="24"/>
        </w:rPr>
        <w:t xml:space="preserve"> referred to</w:t>
      </w:r>
      <w:r w:rsidR="00DD2FEA" w:rsidRPr="00C53A2E">
        <w:rPr>
          <w:szCs w:val="24"/>
        </w:rPr>
        <w:t xml:space="preserve"> in paragraph 1</w:t>
      </w:r>
      <w:r w:rsidR="006B2040">
        <w:rPr>
          <w:szCs w:val="24"/>
        </w:rPr>
        <w:t>, first subparagraph,</w:t>
      </w:r>
      <w:r w:rsidR="00DD2FEA" w:rsidRPr="00C53A2E">
        <w:rPr>
          <w:szCs w:val="24"/>
        </w:rPr>
        <w:t xml:space="preserve"> of </w:t>
      </w:r>
      <w:r w:rsidR="000E6080" w:rsidRPr="000E6080">
        <w:rPr>
          <w:szCs w:val="24"/>
        </w:rPr>
        <w:t>entry [xx]</w:t>
      </w:r>
      <w:r w:rsidR="00DD2FEA" w:rsidRPr="00C53A2E">
        <w:rPr>
          <w:szCs w:val="24"/>
        </w:rPr>
        <w:t xml:space="preserve">. </w:t>
      </w:r>
    </w:p>
    <w:p w14:paraId="348F8010" w14:textId="717F9DBC" w:rsidR="00520198" w:rsidRPr="00C53A2E" w:rsidRDefault="00520198" w:rsidP="005D162E">
      <w:pPr>
        <w:spacing w:before="0" w:after="240" w:line="276" w:lineRule="auto"/>
        <w:rPr>
          <w:szCs w:val="24"/>
        </w:rPr>
      </w:pPr>
      <w:r w:rsidRPr="00DD107C">
        <w:rPr>
          <w:szCs w:val="24"/>
        </w:rPr>
        <w:t>Formaldehyde released from articles referred to in paragraph 1, first subparagraph</w:t>
      </w:r>
      <w:r w:rsidR="00DD107C">
        <w:rPr>
          <w:szCs w:val="24"/>
        </w:rPr>
        <w:t>,</w:t>
      </w:r>
      <w:r w:rsidRPr="00DD107C">
        <w:rPr>
          <w:szCs w:val="24"/>
        </w:rPr>
        <w:t xml:space="preserve"> of entry xx] may also be measured in the air of a test chamber under the reference conditions that are more stringent than the ones listed in the first paragraph of this point; higher temperature and/or higher relative humidity and/or higher loading factor and/or lower air exchange rate shall be considered to be more stringent conditions.</w:t>
      </w:r>
    </w:p>
    <w:p w14:paraId="5B88F667" w14:textId="5F65FA3B" w:rsidR="00DD2FEA" w:rsidRPr="00C53A2E" w:rsidRDefault="00083F8F" w:rsidP="001F2B33">
      <w:pPr>
        <w:spacing w:before="0" w:after="200" w:line="276" w:lineRule="auto"/>
        <w:ind w:firstLine="720"/>
        <w:rPr>
          <w:szCs w:val="24"/>
        </w:rPr>
      </w:pPr>
      <w:r w:rsidRPr="00C53A2E">
        <w:rPr>
          <w:szCs w:val="24"/>
        </w:rPr>
        <w:t>1.</w:t>
      </w:r>
      <w:r w:rsidR="00DD2FEA" w:rsidRPr="00C53A2E">
        <w:rPr>
          <w:szCs w:val="24"/>
        </w:rPr>
        <w:t xml:space="preserve">2. </w:t>
      </w:r>
      <w:r w:rsidR="00BB5169">
        <w:rPr>
          <w:szCs w:val="24"/>
        </w:rPr>
        <w:t>N</w:t>
      </w:r>
      <w:r w:rsidR="00DD2FEA" w:rsidRPr="00C53A2E">
        <w:rPr>
          <w:szCs w:val="24"/>
        </w:rPr>
        <w:t xml:space="preserve">on-reference conditions </w:t>
      </w:r>
    </w:p>
    <w:p w14:paraId="2FEF82E8" w14:textId="3652C36C" w:rsidR="00DD2FEA" w:rsidRPr="00C53A2E" w:rsidRDefault="00DD2FEA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t xml:space="preserve">If data from a test method using the reference conditions specified in </w:t>
      </w:r>
      <w:r w:rsidR="001C1ED6">
        <w:rPr>
          <w:szCs w:val="24"/>
        </w:rPr>
        <w:t>S</w:t>
      </w:r>
      <w:r w:rsidR="00F8585E" w:rsidRPr="00C53A2E">
        <w:rPr>
          <w:szCs w:val="24"/>
        </w:rPr>
        <w:t xml:space="preserve">ection </w:t>
      </w:r>
      <w:r w:rsidRPr="00C53A2E">
        <w:rPr>
          <w:szCs w:val="24"/>
        </w:rPr>
        <w:t>1</w:t>
      </w:r>
      <w:r w:rsidR="00F8585E" w:rsidRPr="00C53A2E">
        <w:rPr>
          <w:szCs w:val="24"/>
        </w:rPr>
        <w:t>.1</w:t>
      </w:r>
      <w:r w:rsidRPr="00C53A2E">
        <w:rPr>
          <w:szCs w:val="24"/>
        </w:rPr>
        <w:t xml:space="preserve"> are not available, data obtained from a test method </w:t>
      </w:r>
      <w:r w:rsidR="007854BE">
        <w:rPr>
          <w:szCs w:val="24"/>
        </w:rPr>
        <w:t xml:space="preserve">using non-reference conditions </w:t>
      </w:r>
      <w:r w:rsidRPr="00C53A2E">
        <w:rPr>
          <w:szCs w:val="24"/>
        </w:rPr>
        <w:t>may be used</w:t>
      </w:r>
      <w:r w:rsidR="00CB6812" w:rsidRPr="00C53A2E">
        <w:rPr>
          <w:szCs w:val="24"/>
        </w:rPr>
        <w:t>,</w:t>
      </w:r>
      <w:r w:rsidRPr="00C53A2E">
        <w:rPr>
          <w:szCs w:val="24"/>
        </w:rPr>
        <w:t xml:space="preserve"> where there is a correlation between the results of the test method used and the reference conditions specified in </w:t>
      </w:r>
      <w:r w:rsidR="001C1ED6">
        <w:rPr>
          <w:szCs w:val="24"/>
        </w:rPr>
        <w:t>S</w:t>
      </w:r>
      <w:r w:rsidR="00F8585E" w:rsidRPr="00C53A2E">
        <w:rPr>
          <w:szCs w:val="24"/>
        </w:rPr>
        <w:t xml:space="preserve">ection </w:t>
      </w:r>
      <w:r w:rsidRPr="00C53A2E">
        <w:rPr>
          <w:szCs w:val="24"/>
        </w:rPr>
        <w:t>1</w:t>
      </w:r>
      <w:r w:rsidR="00F8585E" w:rsidRPr="00C53A2E">
        <w:rPr>
          <w:szCs w:val="24"/>
        </w:rPr>
        <w:t>.1</w:t>
      </w:r>
      <w:r w:rsidRPr="00C53A2E">
        <w:rPr>
          <w:szCs w:val="24"/>
        </w:rPr>
        <w:t xml:space="preserve">. </w:t>
      </w:r>
    </w:p>
    <w:p w14:paraId="5A8CBC9D" w14:textId="52310478" w:rsidR="00DD2FEA" w:rsidRPr="00C53A2E" w:rsidRDefault="00DD2FEA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t>Suppl</w:t>
      </w:r>
      <w:r w:rsidR="00A56B4F" w:rsidRPr="00C53A2E">
        <w:rPr>
          <w:szCs w:val="24"/>
        </w:rPr>
        <w:t xml:space="preserve">iers of articles </w:t>
      </w:r>
      <w:r w:rsidR="003F07FD" w:rsidRPr="00C53A2E">
        <w:rPr>
          <w:szCs w:val="24"/>
        </w:rPr>
        <w:t>may</w:t>
      </w:r>
      <w:r w:rsidR="000375F5" w:rsidRPr="00C53A2E">
        <w:rPr>
          <w:szCs w:val="24"/>
        </w:rPr>
        <w:t>, where applicable</w:t>
      </w:r>
      <w:r w:rsidR="000375F5">
        <w:rPr>
          <w:szCs w:val="24"/>
        </w:rPr>
        <w:t>,</w:t>
      </w:r>
      <w:r w:rsidR="003F07FD" w:rsidRPr="00C53A2E">
        <w:rPr>
          <w:szCs w:val="24"/>
        </w:rPr>
        <w:t xml:space="preserve"> </w:t>
      </w:r>
      <w:r w:rsidR="00F919AD">
        <w:rPr>
          <w:szCs w:val="24"/>
        </w:rPr>
        <w:t>apply</w:t>
      </w:r>
      <w:r w:rsidR="00F919AD" w:rsidRPr="00C53A2E">
        <w:rPr>
          <w:szCs w:val="24"/>
        </w:rPr>
        <w:t xml:space="preserve"> </w:t>
      </w:r>
      <w:r w:rsidRPr="00C53A2E">
        <w:rPr>
          <w:szCs w:val="24"/>
        </w:rPr>
        <w:t>existing correlations to the specific articles and test methods considered, to calculate the formaldehyd</w:t>
      </w:r>
      <w:r w:rsidR="006556CE" w:rsidRPr="00C53A2E">
        <w:rPr>
          <w:szCs w:val="24"/>
        </w:rPr>
        <w:t xml:space="preserve">e releases under the reference </w:t>
      </w:r>
      <w:r w:rsidRPr="00C53A2E">
        <w:rPr>
          <w:szCs w:val="24"/>
        </w:rPr>
        <w:t xml:space="preserve">conditions specified in </w:t>
      </w:r>
      <w:r w:rsidR="001C1ED6">
        <w:rPr>
          <w:szCs w:val="24"/>
        </w:rPr>
        <w:t>S</w:t>
      </w:r>
      <w:r w:rsidR="0064698A" w:rsidRPr="00C53A2E">
        <w:rPr>
          <w:szCs w:val="24"/>
        </w:rPr>
        <w:t xml:space="preserve">ection </w:t>
      </w:r>
      <w:r w:rsidRPr="00C53A2E">
        <w:rPr>
          <w:szCs w:val="24"/>
        </w:rPr>
        <w:t>1</w:t>
      </w:r>
      <w:r w:rsidR="0064698A" w:rsidRPr="00C53A2E">
        <w:rPr>
          <w:szCs w:val="24"/>
        </w:rPr>
        <w:t>.1</w:t>
      </w:r>
      <w:r w:rsidRPr="00C53A2E">
        <w:rPr>
          <w:szCs w:val="24"/>
        </w:rPr>
        <w:t xml:space="preserve"> in order to demonstrate compliance with paragraph 1</w:t>
      </w:r>
      <w:r w:rsidR="000F2082">
        <w:rPr>
          <w:szCs w:val="24"/>
        </w:rPr>
        <w:t>, first subparagraph,</w:t>
      </w:r>
      <w:r w:rsidRPr="00C53A2E">
        <w:rPr>
          <w:szCs w:val="24"/>
        </w:rPr>
        <w:t xml:space="preserve"> of </w:t>
      </w:r>
      <w:r w:rsidR="0064698A" w:rsidRPr="00C53A2E">
        <w:rPr>
          <w:szCs w:val="24"/>
        </w:rPr>
        <w:t>entry [xx]</w:t>
      </w:r>
      <w:r w:rsidRPr="00C53A2E">
        <w:rPr>
          <w:szCs w:val="24"/>
        </w:rPr>
        <w:t xml:space="preserve">. </w:t>
      </w:r>
    </w:p>
    <w:p w14:paraId="2468CF3B" w14:textId="23746221" w:rsidR="008A1227" w:rsidRDefault="00DD2FEA" w:rsidP="00B520EC">
      <w:pPr>
        <w:spacing w:before="0" w:after="240" w:line="276" w:lineRule="auto"/>
        <w:rPr>
          <w:szCs w:val="24"/>
        </w:rPr>
      </w:pPr>
      <w:r w:rsidRPr="00C53A2E">
        <w:rPr>
          <w:szCs w:val="24"/>
        </w:rPr>
        <w:t xml:space="preserve">If relevant correlation data are not available, they </w:t>
      </w:r>
      <w:r w:rsidR="00F23D3B" w:rsidRPr="00C53A2E">
        <w:rPr>
          <w:szCs w:val="24"/>
        </w:rPr>
        <w:t xml:space="preserve">may </w:t>
      </w:r>
      <w:r w:rsidRPr="00C53A2E">
        <w:rPr>
          <w:szCs w:val="24"/>
        </w:rPr>
        <w:t>be generated on a case-by</w:t>
      </w:r>
      <w:r w:rsidR="006556CE" w:rsidRPr="00C53A2E">
        <w:rPr>
          <w:szCs w:val="24"/>
        </w:rPr>
        <w:t>-</w:t>
      </w:r>
      <w:r w:rsidRPr="00C53A2E">
        <w:rPr>
          <w:szCs w:val="24"/>
        </w:rPr>
        <w:t xml:space="preserve">case basis. </w:t>
      </w:r>
      <w:r w:rsidR="0064698A" w:rsidRPr="00C53A2E">
        <w:rPr>
          <w:szCs w:val="24"/>
        </w:rPr>
        <w:t>C</w:t>
      </w:r>
      <w:r w:rsidRPr="00C53A2E">
        <w:rPr>
          <w:szCs w:val="24"/>
        </w:rPr>
        <w:t xml:space="preserve">orrelation data </w:t>
      </w:r>
      <w:r w:rsidR="003F07FD" w:rsidRPr="00C53A2E">
        <w:rPr>
          <w:szCs w:val="24"/>
        </w:rPr>
        <w:t xml:space="preserve">may </w:t>
      </w:r>
      <w:r w:rsidRPr="00C53A2E">
        <w:rPr>
          <w:szCs w:val="24"/>
        </w:rPr>
        <w:t xml:space="preserve">be </w:t>
      </w:r>
      <w:r w:rsidR="0064698A" w:rsidRPr="00C53A2E">
        <w:rPr>
          <w:szCs w:val="24"/>
        </w:rPr>
        <w:t>generated</w:t>
      </w:r>
      <w:r w:rsidR="00E1146C">
        <w:rPr>
          <w:szCs w:val="24"/>
        </w:rPr>
        <w:t>,</w:t>
      </w:r>
      <w:r w:rsidR="0064698A" w:rsidRPr="00C53A2E">
        <w:rPr>
          <w:szCs w:val="24"/>
        </w:rPr>
        <w:t xml:space="preserve"> by</w:t>
      </w:r>
      <w:r w:rsidRPr="00C53A2E">
        <w:rPr>
          <w:szCs w:val="24"/>
        </w:rPr>
        <w:t xml:space="preserve"> perform</w:t>
      </w:r>
      <w:r w:rsidR="0064698A" w:rsidRPr="00C53A2E">
        <w:rPr>
          <w:szCs w:val="24"/>
        </w:rPr>
        <w:t>ing</w:t>
      </w:r>
      <w:r w:rsidRPr="00C53A2E">
        <w:rPr>
          <w:szCs w:val="24"/>
        </w:rPr>
        <w:t xml:space="preserve"> measurements of formaldehyde released from articles or samples of articles using a method with non-reference conditions and, in parallel, to measure the formaldehyde released from samples of the same articles under the </w:t>
      </w:r>
      <w:r w:rsidRPr="00C53A2E">
        <w:rPr>
          <w:szCs w:val="24"/>
        </w:rPr>
        <w:lastRenderedPageBreak/>
        <w:t>reference conditions</w:t>
      </w:r>
      <w:r w:rsidR="00E6296B">
        <w:rPr>
          <w:szCs w:val="24"/>
        </w:rPr>
        <w:t xml:space="preserve"> specified</w:t>
      </w:r>
      <w:r w:rsidRPr="00C53A2E">
        <w:rPr>
          <w:szCs w:val="24"/>
        </w:rPr>
        <w:t xml:space="preserve"> in </w:t>
      </w:r>
      <w:r w:rsidR="001C1ED6">
        <w:rPr>
          <w:szCs w:val="24"/>
        </w:rPr>
        <w:t>S</w:t>
      </w:r>
      <w:r w:rsidR="0064698A" w:rsidRPr="00C53A2E">
        <w:rPr>
          <w:szCs w:val="24"/>
        </w:rPr>
        <w:t xml:space="preserve">ection </w:t>
      </w:r>
      <w:r w:rsidRPr="00C53A2E">
        <w:rPr>
          <w:szCs w:val="24"/>
        </w:rPr>
        <w:t>1</w:t>
      </w:r>
      <w:r w:rsidR="0064698A" w:rsidRPr="00C53A2E">
        <w:rPr>
          <w:szCs w:val="24"/>
        </w:rPr>
        <w:t>.1</w:t>
      </w:r>
      <w:r w:rsidRPr="00C53A2E">
        <w:rPr>
          <w:szCs w:val="24"/>
        </w:rPr>
        <w:t xml:space="preserve">. Sufficient repeat testing </w:t>
      </w:r>
      <w:r w:rsidR="003F07FD" w:rsidRPr="00C53A2E">
        <w:rPr>
          <w:szCs w:val="24"/>
        </w:rPr>
        <w:t xml:space="preserve">shall </w:t>
      </w:r>
      <w:r w:rsidRPr="00C53A2E">
        <w:rPr>
          <w:szCs w:val="24"/>
        </w:rPr>
        <w:t xml:space="preserve">be conducted to ensure the reliability of </w:t>
      </w:r>
      <w:r w:rsidR="00B93E3D">
        <w:rPr>
          <w:szCs w:val="24"/>
        </w:rPr>
        <w:t>such</w:t>
      </w:r>
      <w:r w:rsidRPr="00C53A2E">
        <w:rPr>
          <w:szCs w:val="24"/>
        </w:rPr>
        <w:t xml:space="preserve"> derived correlation. </w:t>
      </w:r>
    </w:p>
    <w:p w14:paraId="642CC539" w14:textId="7C0F999F" w:rsidR="00DD2FEA" w:rsidRPr="00C53A2E" w:rsidRDefault="00DD2FEA" w:rsidP="00B520EC">
      <w:pPr>
        <w:spacing w:before="0" w:after="240" w:line="276" w:lineRule="auto"/>
        <w:rPr>
          <w:szCs w:val="24"/>
        </w:rPr>
      </w:pPr>
      <w:r w:rsidRPr="00C53A2E">
        <w:rPr>
          <w:szCs w:val="24"/>
        </w:rPr>
        <w:t xml:space="preserve">Where a correlation is evident, it </w:t>
      </w:r>
      <w:r w:rsidR="003F07FD" w:rsidRPr="00C53A2E">
        <w:rPr>
          <w:szCs w:val="24"/>
        </w:rPr>
        <w:t xml:space="preserve">shall </w:t>
      </w:r>
      <w:r w:rsidRPr="00C53A2E">
        <w:rPr>
          <w:szCs w:val="24"/>
        </w:rPr>
        <w:t xml:space="preserve">only be necessary to undertake </w:t>
      </w:r>
      <w:r w:rsidR="007F0E23">
        <w:rPr>
          <w:szCs w:val="24"/>
        </w:rPr>
        <w:t xml:space="preserve">the </w:t>
      </w:r>
      <w:r w:rsidRPr="00C53A2E">
        <w:rPr>
          <w:szCs w:val="24"/>
        </w:rPr>
        <w:t>testing</w:t>
      </w:r>
      <w:r w:rsidR="007F0E23">
        <w:rPr>
          <w:szCs w:val="24"/>
        </w:rPr>
        <w:t xml:space="preserve"> to verify</w:t>
      </w:r>
      <w:r w:rsidR="007F0E23" w:rsidRPr="00C53A2E">
        <w:rPr>
          <w:szCs w:val="24"/>
        </w:rPr>
        <w:t xml:space="preserve"> the </w:t>
      </w:r>
      <w:r w:rsidR="007F0E23">
        <w:rPr>
          <w:szCs w:val="24"/>
        </w:rPr>
        <w:t xml:space="preserve">compliance with the </w:t>
      </w:r>
      <w:r w:rsidR="007F0E23" w:rsidRPr="00C53A2E">
        <w:rPr>
          <w:szCs w:val="24"/>
        </w:rPr>
        <w:t>limit value of formaldehyde</w:t>
      </w:r>
      <w:r w:rsidRPr="00C53A2E">
        <w:rPr>
          <w:szCs w:val="24"/>
        </w:rPr>
        <w:t xml:space="preserve"> using the method with non</w:t>
      </w:r>
      <w:r w:rsidR="0064698A" w:rsidRPr="00C53A2E">
        <w:rPr>
          <w:szCs w:val="24"/>
        </w:rPr>
        <w:t>-</w:t>
      </w:r>
      <w:r w:rsidRPr="00C53A2E">
        <w:rPr>
          <w:szCs w:val="24"/>
        </w:rPr>
        <w:t xml:space="preserve">reference conditions. Parallel measurements </w:t>
      </w:r>
      <w:r w:rsidR="003F07FD" w:rsidRPr="00C53A2E">
        <w:rPr>
          <w:szCs w:val="24"/>
        </w:rPr>
        <w:t xml:space="preserve">shall </w:t>
      </w:r>
      <w:r w:rsidRPr="00C53A2E">
        <w:rPr>
          <w:szCs w:val="24"/>
        </w:rPr>
        <w:t>only need to be repeated in case of variations in the characteristics of the article</w:t>
      </w:r>
      <w:r w:rsidR="000F2082">
        <w:rPr>
          <w:szCs w:val="24"/>
        </w:rPr>
        <w:t>, such as</w:t>
      </w:r>
      <w:r w:rsidRPr="00C53A2E">
        <w:rPr>
          <w:szCs w:val="24"/>
        </w:rPr>
        <w:t xml:space="preserve"> material, size, </w:t>
      </w:r>
      <w:r w:rsidR="001C1ED6">
        <w:rPr>
          <w:szCs w:val="24"/>
        </w:rPr>
        <w:t xml:space="preserve">and </w:t>
      </w:r>
      <w:r w:rsidRPr="00C53A2E">
        <w:rPr>
          <w:szCs w:val="24"/>
        </w:rPr>
        <w:t>production process</w:t>
      </w:r>
      <w:r w:rsidR="00B93E3D">
        <w:rPr>
          <w:szCs w:val="24"/>
        </w:rPr>
        <w:t>,</w:t>
      </w:r>
      <w:r w:rsidRPr="00C53A2E">
        <w:rPr>
          <w:szCs w:val="24"/>
        </w:rPr>
        <w:t xml:space="preserve"> that may foreseeably </w:t>
      </w:r>
      <w:r w:rsidR="000375F5">
        <w:rPr>
          <w:szCs w:val="24"/>
        </w:rPr>
        <w:t>affect</w:t>
      </w:r>
      <w:r w:rsidR="000375F5" w:rsidRPr="00C53A2E">
        <w:rPr>
          <w:szCs w:val="24"/>
        </w:rPr>
        <w:t xml:space="preserve"> </w:t>
      </w:r>
      <w:r w:rsidRPr="00C53A2E">
        <w:rPr>
          <w:szCs w:val="24"/>
        </w:rPr>
        <w:t xml:space="preserve">the release of formaldehyde. </w:t>
      </w:r>
    </w:p>
    <w:p w14:paraId="33BF70F9" w14:textId="270A7D51" w:rsidR="00DD2FEA" w:rsidRPr="00C53A2E" w:rsidRDefault="00083F8F" w:rsidP="006556CE">
      <w:pPr>
        <w:spacing w:before="0" w:after="200" w:line="276" w:lineRule="auto"/>
        <w:rPr>
          <w:b/>
          <w:szCs w:val="24"/>
        </w:rPr>
      </w:pPr>
      <w:r w:rsidRPr="00C53A2E">
        <w:rPr>
          <w:b/>
          <w:szCs w:val="24"/>
        </w:rPr>
        <w:t>2</w:t>
      </w:r>
      <w:r w:rsidR="00DD2FEA" w:rsidRPr="00C53A2E">
        <w:rPr>
          <w:b/>
          <w:szCs w:val="24"/>
        </w:rPr>
        <w:t xml:space="preserve">. Measurement of formaldehyde concentration in the interior of vehicles </w:t>
      </w:r>
      <w:r w:rsidR="00E81449">
        <w:rPr>
          <w:b/>
          <w:szCs w:val="24"/>
        </w:rPr>
        <w:t>referred to in</w:t>
      </w:r>
      <w:r w:rsidR="00CB6812" w:rsidRPr="00C53A2E">
        <w:rPr>
          <w:b/>
          <w:szCs w:val="24"/>
        </w:rPr>
        <w:t xml:space="preserve"> paragraph 2</w:t>
      </w:r>
      <w:r w:rsidR="000B0778">
        <w:rPr>
          <w:b/>
          <w:szCs w:val="24"/>
        </w:rPr>
        <w:t>, first subparagraph,</w:t>
      </w:r>
      <w:r w:rsidR="00CB6812" w:rsidRPr="00C53A2E">
        <w:rPr>
          <w:b/>
          <w:szCs w:val="24"/>
        </w:rPr>
        <w:t xml:space="preserve"> of entry [xx] </w:t>
      </w:r>
    </w:p>
    <w:p w14:paraId="75DA03C9" w14:textId="33CE0ECC" w:rsidR="00DD2FEA" w:rsidRPr="00A74522" w:rsidRDefault="00DD2FEA" w:rsidP="006556CE">
      <w:pPr>
        <w:spacing w:before="0" w:after="200" w:line="276" w:lineRule="auto"/>
        <w:rPr>
          <w:szCs w:val="24"/>
        </w:rPr>
      </w:pPr>
      <w:r w:rsidRPr="00C53A2E">
        <w:rPr>
          <w:szCs w:val="24"/>
        </w:rPr>
        <w:t xml:space="preserve">For road vehicles, </w:t>
      </w:r>
      <w:r w:rsidR="001149A7" w:rsidRPr="00C53A2E">
        <w:rPr>
          <w:szCs w:val="24"/>
        </w:rPr>
        <w:t xml:space="preserve">including </w:t>
      </w:r>
      <w:r w:rsidR="001149A7" w:rsidRPr="00495865">
        <w:rPr>
          <w:szCs w:val="24"/>
        </w:rPr>
        <w:t>trucks</w:t>
      </w:r>
      <w:r w:rsidR="00665F45" w:rsidRPr="00C53A2E">
        <w:rPr>
          <w:szCs w:val="24"/>
        </w:rPr>
        <w:t xml:space="preserve"> </w:t>
      </w:r>
      <w:r w:rsidR="001149A7" w:rsidRPr="00C53A2E">
        <w:rPr>
          <w:szCs w:val="24"/>
        </w:rPr>
        <w:t xml:space="preserve">and buses, </w:t>
      </w:r>
      <w:r w:rsidRPr="00C53A2E">
        <w:rPr>
          <w:szCs w:val="24"/>
        </w:rPr>
        <w:t xml:space="preserve">the formaldehyde concentration shall be measured </w:t>
      </w:r>
      <w:r w:rsidR="00E81449">
        <w:rPr>
          <w:szCs w:val="24"/>
        </w:rPr>
        <w:t xml:space="preserve">in </w:t>
      </w:r>
      <w:r w:rsidRPr="00C53A2E">
        <w:rPr>
          <w:szCs w:val="24"/>
        </w:rPr>
        <w:t>accord</w:t>
      </w:r>
      <w:r w:rsidR="00E81449">
        <w:rPr>
          <w:szCs w:val="24"/>
        </w:rPr>
        <w:t>ance with</w:t>
      </w:r>
      <w:r w:rsidRPr="00C53A2E">
        <w:rPr>
          <w:szCs w:val="24"/>
        </w:rPr>
        <w:t xml:space="preserve"> the conditions specified in ISO 12219-1</w:t>
      </w:r>
      <w:r w:rsidR="006556CE" w:rsidRPr="00C53A2E">
        <w:rPr>
          <w:rStyle w:val="FootnoteReference"/>
          <w:szCs w:val="24"/>
        </w:rPr>
        <w:footnoteReference w:id="2"/>
      </w:r>
      <w:r w:rsidR="00DF5093" w:rsidRPr="00C53A2E">
        <w:rPr>
          <w:szCs w:val="24"/>
        </w:rPr>
        <w:t>,</w:t>
      </w:r>
      <w:r w:rsidR="00E81449">
        <w:rPr>
          <w:szCs w:val="24"/>
        </w:rPr>
        <w:t xml:space="preserve"> ISO </w:t>
      </w:r>
      <w:r w:rsidR="00DF5093" w:rsidRPr="00C53A2E">
        <w:rPr>
          <w:szCs w:val="24"/>
        </w:rPr>
        <w:t>12219-10</w:t>
      </w:r>
      <w:r w:rsidR="00DF5093" w:rsidRPr="00C53A2E">
        <w:rPr>
          <w:rStyle w:val="FootnoteReference"/>
          <w:szCs w:val="24"/>
        </w:rPr>
        <w:footnoteReference w:id="3"/>
      </w:r>
      <w:r w:rsidR="00DF5093" w:rsidRPr="00C53A2E">
        <w:rPr>
          <w:szCs w:val="24"/>
        </w:rPr>
        <w:t xml:space="preserve"> </w:t>
      </w:r>
      <w:r w:rsidRPr="00C53A2E">
        <w:rPr>
          <w:szCs w:val="24"/>
        </w:rPr>
        <w:t>or an equivalent method</w:t>
      </w:r>
      <w:r w:rsidR="000375F5">
        <w:rPr>
          <w:szCs w:val="24"/>
        </w:rPr>
        <w:t>,</w:t>
      </w:r>
      <w:r w:rsidRPr="00C53A2E">
        <w:rPr>
          <w:szCs w:val="24"/>
        </w:rPr>
        <w:t xml:space="preserve"> and the </w:t>
      </w:r>
      <w:r w:rsidR="00B22CDD">
        <w:rPr>
          <w:szCs w:val="24"/>
        </w:rPr>
        <w:t xml:space="preserve">concentration measured shall be </w:t>
      </w:r>
      <w:r w:rsidR="008A1227">
        <w:rPr>
          <w:szCs w:val="24"/>
        </w:rPr>
        <w:t xml:space="preserve">used to verify the </w:t>
      </w:r>
      <w:r w:rsidR="00B22CDD">
        <w:rPr>
          <w:szCs w:val="24"/>
        </w:rPr>
        <w:t>complian</w:t>
      </w:r>
      <w:r w:rsidR="008A1227">
        <w:rPr>
          <w:szCs w:val="24"/>
        </w:rPr>
        <w:t>ce</w:t>
      </w:r>
      <w:r w:rsidR="00B22CDD">
        <w:rPr>
          <w:szCs w:val="24"/>
        </w:rPr>
        <w:t xml:space="preserve"> with the limit </w:t>
      </w:r>
      <w:r w:rsidRPr="00C53A2E">
        <w:rPr>
          <w:szCs w:val="24"/>
        </w:rPr>
        <w:t xml:space="preserve">value </w:t>
      </w:r>
      <w:r w:rsidR="008A1227">
        <w:rPr>
          <w:szCs w:val="24"/>
        </w:rPr>
        <w:t>referred to</w:t>
      </w:r>
      <w:r w:rsidRPr="00C53A2E">
        <w:rPr>
          <w:szCs w:val="24"/>
        </w:rPr>
        <w:t xml:space="preserve"> in paragraph </w:t>
      </w:r>
      <w:r w:rsidR="00E929F0" w:rsidRPr="00C53A2E">
        <w:rPr>
          <w:szCs w:val="24"/>
        </w:rPr>
        <w:t>2</w:t>
      </w:r>
      <w:r w:rsidR="00E81449">
        <w:rPr>
          <w:szCs w:val="24"/>
        </w:rPr>
        <w:t>, first subparagraph,</w:t>
      </w:r>
      <w:r w:rsidRPr="00C53A2E">
        <w:rPr>
          <w:szCs w:val="24"/>
        </w:rPr>
        <w:t xml:space="preserve"> of entry </w:t>
      </w:r>
      <w:r w:rsidR="001149A7" w:rsidRPr="00C53A2E">
        <w:rPr>
          <w:szCs w:val="24"/>
        </w:rPr>
        <w:t>[xx]</w:t>
      </w:r>
      <w:r w:rsidRPr="00C53A2E">
        <w:rPr>
          <w:szCs w:val="24"/>
        </w:rPr>
        <w:t>.</w:t>
      </w:r>
      <w:r w:rsidR="009F1655" w:rsidRPr="00C53A2E">
        <w:rPr>
          <w:szCs w:val="24"/>
        </w:rPr>
        <w:t>’</w:t>
      </w:r>
      <w:r w:rsidR="000375F5">
        <w:rPr>
          <w:szCs w:val="24"/>
        </w:rPr>
        <w:t>.</w:t>
      </w:r>
    </w:p>
    <w:p w14:paraId="4A278AE6" w14:textId="7C40C1AE" w:rsidR="00336657" w:rsidRPr="00A74522" w:rsidRDefault="00336657" w:rsidP="006556CE">
      <w:pPr>
        <w:rPr>
          <w:szCs w:val="24"/>
        </w:rPr>
      </w:pPr>
    </w:p>
    <w:sectPr w:rsidR="00336657" w:rsidRPr="00A74522" w:rsidSect="00F155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7C554" w14:textId="77777777" w:rsidR="001378A3" w:rsidRDefault="001378A3" w:rsidP="0045525D">
      <w:pPr>
        <w:spacing w:before="0" w:after="0"/>
      </w:pPr>
      <w:r>
        <w:separator/>
      </w:r>
    </w:p>
  </w:endnote>
  <w:endnote w:type="continuationSeparator" w:id="0">
    <w:p w14:paraId="006BE353" w14:textId="77777777" w:rsidR="001378A3" w:rsidRDefault="001378A3" w:rsidP="004552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092E0" w14:textId="77777777" w:rsidR="001D6E1C" w:rsidRDefault="001D6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7F816" w14:textId="3F7D2411" w:rsidR="00B44329" w:rsidRPr="00B44329" w:rsidRDefault="00B44329" w:rsidP="00B44329">
    <w:pPr>
      <w:pStyle w:val="FooterCoverPage"/>
      <w:rPr>
        <w:rFonts w:ascii="Arial" w:hAnsi="Arial" w:cs="Arial"/>
        <w:b/>
        <w:sz w:val="48"/>
      </w:rPr>
    </w:pPr>
    <w:r w:rsidRPr="00B44329">
      <w:rPr>
        <w:rFonts w:ascii="Arial" w:hAnsi="Arial" w:cs="Arial"/>
        <w:b/>
        <w:sz w:val="48"/>
      </w:rPr>
      <w:t>EN</w:t>
    </w:r>
    <w:r w:rsidRPr="00B44329">
      <w:rPr>
        <w:rFonts w:ascii="Arial" w:hAnsi="Arial" w:cs="Arial"/>
        <w:b/>
        <w:sz w:val="48"/>
      </w:rPr>
      <w:tab/>
    </w:r>
    <w:r w:rsidRPr="00B44329">
      <w:rPr>
        <w:rFonts w:ascii="Arial" w:hAnsi="Arial" w:cs="Arial"/>
        <w:b/>
        <w:sz w:val="48"/>
      </w:rPr>
      <w:tab/>
    </w:r>
    <w:r w:rsidRPr="00B44329">
      <w:tab/>
    </w:r>
    <w:r w:rsidRPr="00B44329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6297A" w14:textId="77777777" w:rsidR="001D6E1C" w:rsidRDefault="001D6E1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C5ED" w14:textId="77777777" w:rsidR="00336657" w:rsidRDefault="0033665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CA151" w14:textId="03BA99F3" w:rsidR="00336657" w:rsidRPr="00C03344" w:rsidRDefault="00336657" w:rsidP="00336657">
    <w:pPr>
      <w:pStyle w:val="Footer"/>
      <w:rPr>
        <w:rFonts w:ascii="Arial" w:hAnsi="Arial" w:cs="Arial"/>
        <w:b/>
        <w:sz w:val="48"/>
      </w:rPr>
    </w:pPr>
    <w:r w:rsidRPr="00C03344">
      <w:rPr>
        <w:rFonts w:ascii="Arial" w:hAnsi="Arial" w:cs="Arial"/>
        <w:b/>
        <w:sz w:val="48"/>
      </w:rPr>
      <w:t>EN</w:t>
    </w:r>
    <w:r w:rsidRPr="00C03344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89591C">
      <w:rPr>
        <w:noProof/>
      </w:rPr>
      <w:t>4</w:t>
    </w:r>
    <w:r>
      <w:fldChar w:fldCharType="end"/>
    </w:r>
    <w:r>
      <w:tab/>
    </w:r>
    <w:r w:rsidRPr="00C03344">
      <w:tab/>
    </w:r>
    <w:r w:rsidRPr="00C03344">
      <w:rPr>
        <w:rFonts w:ascii="Arial" w:hAnsi="Arial" w:cs="Arial"/>
        <w:b/>
        <w:sz w:val="48"/>
      </w:rPr>
      <w:t>EN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71F8" w14:textId="77777777" w:rsidR="00336657" w:rsidRDefault="00336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E7716" w14:textId="77777777" w:rsidR="001378A3" w:rsidRDefault="001378A3" w:rsidP="0045525D">
      <w:pPr>
        <w:spacing w:before="0" w:after="0"/>
      </w:pPr>
      <w:r>
        <w:separator/>
      </w:r>
    </w:p>
  </w:footnote>
  <w:footnote w:type="continuationSeparator" w:id="0">
    <w:p w14:paraId="50DC1E9A" w14:textId="77777777" w:rsidR="001378A3" w:rsidRDefault="001378A3" w:rsidP="0045525D">
      <w:pPr>
        <w:spacing w:before="0" w:after="0"/>
      </w:pPr>
      <w:r>
        <w:continuationSeparator/>
      </w:r>
    </w:p>
  </w:footnote>
  <w:footnote w:id="1">
    <w:p w14:paraId="4EA70D07" w14:textId="0F5FAE95" w:rsidR="003F07FD" w:rsidRPr="003F07FD" w:rsidRDefault="003F07FD" w:rsidP="003F07FD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F07FD">
        <w:t>EN 16516: Construction products – Assessment of release of dangerou</w:t>
      </w:r>
      <w:r>
        <w:t xml:space="preserve">s substances – Determination of </w:t>
      </w:r>
      <w:r w:rsidRPr="003F07FD">
        <w:t>emissions into indoor air</w:t>
      </w:r>
      <w:r w:rsidR="000375F5">
        <w:t>.</w:t>
      </w:r>
    </w:p>
  </w:footnote>
  <w:footnote w:id="2">
    <w:p w14:paraId="60B227B9" w14:textId="184D30CA" w:rsidR="006556CE" w:rsidRPr="006556CE" w:rsidRDefault="006556CE" w:rsidP="006556CE">
      <w:pPr>
        <w:pStyle w:val="FootnoteText"/>
        <w:ind w:left="0" w:firstLine="0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="00DD107C">
        <w:tab/>
      </w:r>
      <w:r w:rsidRPr="006556CE">
        <w:t>ISO 12219-1: Interior air of road vehicles – Part 1: Whole vehicle test chamber – Specification and method for the determination of volatile organic compounds in cabin interiors</w:t>
      </w:r>
      <w:r w:rsidR="000375F5">
        <w:t>.</w:t>
      </w:r>
    </w:p>
  </w:footnote>
  <w:footnote w:id="3">
    <w:p w14:paraId="2FCC3EF2" w14:textId="172B631F" w:rsidR="00DF5093" w:rsidRPr="00DF5093" w:rsidRDefault="00DF5093" w:rsidP="00DF5093">
      <w:pPr>
        <w:pStyle w:val="FootnoteText"/>
        <w:ind w:left="0" w:firstLine="0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="00DD107C">
        <w:tab/>
        <w:t xml:space="preserve">ISO </w:t>
      </w:r>
      <w:r>
        <w:t>12219-10:</w:t>
      </w:r>
      <w:r w:rsidRPr="00DF5093">
        <w:t xml:space="preserve"> Interior air of road vehicles — Part 10: Whole vehicle test chamber — Specification and methods for the determination of volatile organic compounds in cab</w:t>
      </w:r>
      <w:r>
        <w:t>in interiors — Trucks and buses</w:t>
      </w:r>
      <w:r w:rsidR="000375F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54477" w14:textId="77777777" w:rsidR="001D6E1C" w:rsidRDefault="001D6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5BD6C" w14:textId="77777777" w:rsidR="001D6E1C" w:rsidRDefault="001D6E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D74B8" w14:textId="77777777" w:rsidR="001D6E1C" w:rsidRDefault="001D6E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D3F6D" w14:textId="77777777" w:rsidR="00336657" w:rsidRDefault="0033665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19F6" w14:textId="77777777" w:rsidR="00336657" w:rsidRDefault="0033665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7270" w14:textId="77777777" w:rsidR="00336657" w:rsidRDefault="00336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4782"/>
    <w:multiLevelType w:val="hybridMultilevel"/>
    <w:tmpl w:val="E1948584"/>
    <w:lvl w:ilvl="0" w:tplc="704EE20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454"/>
    <w:multiLevelType w:val="hybridMultilevel"/>
    <w:tmpl w:val="DEE8F88E"/>
    <w:lvl w:ilvl="0" w:tplc="B2FC01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2A9AC2B2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14DA3B42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436F"/>
    <w:multiLevelType w:val="hybridMultilevel"/>
    <w:tmpl w:val="B5B6B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DA3B4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B5569"/>
    <w:multiLevelType w:val="hybridMultilevel"/>
    <w:tmpl w:val="E92AA390"/>
    <w:lvl w:ilvl="0" w:tplc="6FEC2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739730EB"/>
    <w:multiLevelType w:val="hybridMultilevel"/>
    <w:tmpl w:val="DC9A85FA"/>
    <w:lvl w:ilvl="0" w:tplc="2A9AC2B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F135ED"/>
    <w:multiLevelType w:val="multilevel"/>
    <w:tmpl w:val="B688339C"/>
    <w:lvl w:ilvl="0">
      <w:start w:val="1"/>
      <w:numFmt w:val="decimal"/>
      <w:lvlText w:val="%1."/>
      <w:lvlJc w:val="left"/>
      <w:pPr>
        <w:ind w:left="35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35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720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35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35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35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8E91A26F-82D3-4492-8AF3-3C67777796C2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&lt;FMT:Bold&gt;amending Annex XVII to Regulation (EC) No 1907/2006 of the European Parliament and of the Council concerning the Registration, Evaluation, Authorisation and Restriction of Chemicals (REACH) as regards formaldehyde and formaldehyde releasers&lt;/FMT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2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REGULATION (EU) .../... of XXX"/>
  </w:docVars>
  <w:rsids>
    <w:rsidRoot w:val="0045525D"/>
    <w:rsid w:val="00027574"/>
    <w:rsid w:val="000375F5"/>
    <w:rsid w:val="00040DD8"/>
    <w:rsid w:val="00041849"/>
    <w:rsid w:val="00044F86"/>
    <w:rsid w:val="00045805"/>
    <w:rsid w:val="00051ED4"/>
    <w:rsid w:val="00065182"/>
    <w:rsid w:val="00065C69"/>
    <w:rsid w:val="00067F76"/>
    <w:rsid w:val="00070757"/>
    <w:rsid w:val="00082650"/>
    <w:rsid w:val="00083F6B"/>
    <w:rsid w:val="00083F8F"/>
    <w:rsid w:val="000926BE"/>
    <w:rsid w:val="00092BDC"/>
    <w:rsid w:val="000960EF"/>
    <w:rsid w:val="000A6821"/>
    <w:rsid w:val="000A6F88"/>
    <w:rsid w:val="000B0778"/>
    <w:rsid w:val="000B16A3"/>
    <w:rsid w:val="000B591F"/>
    <w:rsid w:val="000D4F4E"/>
    <w:rsid w:val="000D5027"/>
    <w:rsid w:val="000E0BFA"/>
    <w:rsid w:val="000E1654"/>
    <w:rsid w:val="000E1904"/>
    <w:rsid w:val="000E6080"/>
    <w:rsid w:val="000E6950"/>
    <w:rsid w:val="000E75E1"/>
    <w:rsid w:val="000F2082"/>
    <w:rsid w:val="000F4BB8"/>
    <w:rsid w:val="00105E9A"/>
    <w:rsid w:val="001069AC"/>
    <w:rsid w:val="0011183A"/>
    <w:rsid w:val="00111ECD"/>
    <w:rsid w:val="001149A7"/>
    <w:rsid w:val="0012129F"/>
    <w:rsid w:val="001215C6"/>
    <w:rsid w:val="001275B8"/>
    <w:rsid w:val="001378A3"/>
    <w:rsid w:val="00137EF9"/>
    <w:rsid w:val="001445F2"/>
    <w:rsid w:val="001634C2"/>
    <w:rsid w:val="00173B96"/>
    <w:rsid w:val="00187614"/>
    <w:rsid w:val="00190E93"/>
    <w:rsid w:val="00195A98"/>
    <w:rsid w:val="001973C6"/>
    <w:rsid w:val="001A0A2E"/>
    <w:rsid w:val="001A303F"/>
    <w:rsid w:val="001B0979"/>
    <w:rsid w:val="001B3623"/>
    <w:rsid w:val="001C1ED6"/>
    <w:rsid w:val="001C3288"/>
    <w:rsid w:val="001D53FD"/>
    <w:rsid w:val="001D6002"/>
    <w:rsid w:val="001D6E1C"/>
    <w:rsid w:val="001E5F75"/>
    <w:rsid w:val="001F2B33"/>
    <w:rsid w:val="001F49E2"/>
    <w:rsid w:val="001F5290"/>
    <w:rsid w:val="001F6687"/>
    <w:rsid w:val="0020078E"/>
    <w:rsid w:val="00210AF3"/>
    <w:rsid w:val="00214865"/>
    <w:rsid w:val="0022385A"/>
    <w:rsid w:val="00231D73"/>
    <w:rsid w:val="002453A8"/>
    <w:rsid w:val="002470C7"/>
    <w:rsid w:val="00247343"/>
    <w:rsid w:val="0025123A"/>
    <w:rsid w:val="0025564E"/>
    <w:rsid w:val="002612C7"/>
    <w:rsid w:val="00264C77"/>
    <w:rsid w:val="00265249"/>
    <w:rsid w:val="002657BC"/>
    <w:rsid w:val="002828C6"/>
    <w:rsid w:val="00283E5D"/>
    <w:rsid w:val="00286694"/>
    <w:rsid w:val="00286811"/>
    <w:rsid w:val="00293304"/>
    <w:rsid w:val="002A1572"/>
    <w:rsid w:val="002A7DA4"/>
    <w:rsid w:val="002C64D3"/>
    <w:rsid w:val="002C7751"/>
    <w:rsid w:val="002D2A87"/>
    <w:rsid w:val="002D39FD"/>
    <w:rsid w:val="002E38DA"/>
    <w:rsid w:val="002E6E7C"/>
    <w:rsid w:val="002F1600"/>
    <w:rsid w:val="002F4380"/>
    <w:rsid w:val="00303461"/>
    <w:rsid w:val="003048C5"/>
    <w:rsid w:val="00305F16"/>
    <w:rsid w:val="00306D1F"/>
    <w:rsid w:val="003209A1"/>
    <w:rsid w:val="00322EE7"/>
    <w:rsid w:val="00323AFB"/>
    <w:rsid w:val="00324279"/>
    <w:rsid w:val="00336657"/>
    <w:rsid w:val="00341571"/>
    <w:rsid w:val="00341DE9"/>
    <w:rsid w:val="00342C98"/>
    <w:rsid w:val="00344019"/>
    <w:rsid w:val="003572BF"/>
    <w:rsid w:val="003632F5"/>
    <w:rsid w:val="00364C73"/>
    <w:rsid w:val="00374E5B"/>
    <w:rsid w:val="00382BB4"/>
    <w:rsid w:val="003845DB"/>
    <w:rsid w:val="00386DD3"/>
    <w:rsid w:val="0039275B"/>
    <w:rsid w:val="0039383A"/>
    <w:rsid w:val="003B09D5"/>
    <w:rsid w:val="003B611D"/>
    <w:rsid w:val="003B6F52"/>
    <w:rsid w:val="003C6B31"/>
    <w:rsid w:val="003D1C1D"/>
    <w:rsid w:val="003D2C03"/>
    <w:rsid w:val="003F07FD"/>
    <w:rsid w:val="003F1979"/>
    <w:rsid w:val="00400EAA"/>
    <w:rsid w:val="00410EC3"/>
    <w:rsid w:val="00413C7B"/>
    <w:rsid w:val="00415232"/>
    <w:rsid w:val="004174D4"/>
    <w:rsid w:val="0044475B"/>
    <w:rsid w:val="004464F0"/>
    <w:rsid w:val="00451D17"/>
    <w:rsid w:val="0045525D"/>
    <w:rsid w:val="0046525B"/>
    <w:rsid w:val="0046751A"/>
    <w:rsid w:val="00475C7D"/>
    <w:rsid w:val="00486A32"/>
    <w:rsid w:val="00495865"/>
    <w:rsid w:val="004B50E5"/>
    <w:rsid w:val="004D2363"/>
    <w:rsid w:val="004D50EC"/>
    <w:rsid w:val="004D6AC3"/>
    <w:rsid w:val="004E366B"/>
    <w:rsid w:val="004E6DA7"/>
    <w:rsid w:val="004F2810"/>
    <w:rsid w:val="004F4FD6"/>
    <w:rsid w:val="004F5850"/>
    <w:rsid w:val="004F58DC"/>
    <w:rsid w:val="004F710E"/>
    <w:rsid w:val="0050249F"/>
    <w:rsid w:val="00502825"/>
    <w:rsid w:val="0050783E"/>
    <w:rsid w:val="00510257"/>
    <w:rsid w:val="00515330"/>
    <w:rsid w:val="00520198"/>
    <w:rsid w:val="00523C6E"/>
    <w:rsid w:val="00525AF8"/>
    <w:rsid w:val="0053271E"/>
    <w:rsid w:val="00532A2E"/>
    <w:rsid w:val="00533D31"/>
    <w:rsid w:val="00535A39"/>
    <w:rsid w:val="00536947"/>
    <w:rsid w:val="00540BA3"/>
    <w:rsid w:val="005450A1"/>
    <w:rsid w:val="00547A72"/>
    <w:rsid w:val="0055214D"/>
    <w:rsid w:val="0055318D"/>
    <w:rsid w:val="00572783"/>
    <w:rsid w:val="005852D4"/>
    <w:rsid w:val="005A242B"/>
    <w:rsid w:val="005B372C"/>
    <w:rsid w:val="005D13AF"/>
    <w:rsid w:val="005D162E"/>
    <w:rsid w:val="005D26BF"/>
    <w:rsid w:val="005D395B"/>
    <w:rsid w:val="005D638D"/>
    <w:rsid w:val="005D7AE1"/>
    <w:rsid w:val="005E7C74"/>
    <w:rsid w:val="005F089F"/>
    <w:rsid w:val="005F7D3E"/>
    <w:rsid w:val="006124BD"/>
    <w:rsid w:val="00640430"/>
    <w:rsid w:val="00640ED7"/>
    <w:rsid w:val="00643498"/>
    <w:rsid w:val="0064698A"/>
    <w:rsid w:val="006556CE"/>
    <w:rsid w:val="00655DA8"/>
    <w:rsid w:val="00655F2A"/>
    <w:rsid w:val="00663D5B"/>
    <w:rsid w:val="00665F45"/>
    <w:rsid w:val="00683D77"/>
    <w:rsid w:val="00684CC2"/>
    <w:rsid w:val="006963F0"/>
    <w:rsid w:val="00696963"/>
    <w:rsid w:val="00697E48"/>
    <w:rsid w:val="006A53F5"/>
    <w:rsid w:val="006B2040"/>
    <w:rsid w:val="006B2BF7"/>
    <w:rsid w:val="006B2FC0"/>
    <w:rsid w:val="006B335B"/>
    <w:rsid w:val="006B3684"/>
    <w:rsid w:val="006C1325"/>
    <w:rsid w:val="006C13D3"/>
    <w:rsid w:val="006D1644"/>
    <w:rsid w:val="006E1525"/>
    <w:rsid w:val="006E2052"/>
    <w:rsid w:val="006E321A"/>
    <w:rsid w:val="006F71D1"/>
    <w:rsid w:val="00713E46"/>
    <w:rsid w:val="00716579"/>
    <w:rsid w:val="007203DB"/>
    <w:rsid w:val="00722B8C"/>
    <w:rsid w:val="0072380A"/>
    <w:rsid w:val="007238DF"/>
    <w:rsid w:val="00730EA6"/>
    <w:rsid w:val="007368BC"/>
    <w:rsid w:val="00743465"/>
    <w:rsid w:val="00753750"/>
    <w:rsid w:val="007574C9"/>
    <w:rsid w:val="0076463F"/>
    <w:rsid w:val="0076595D"/>
    <w:rsid w:val="00772A9D"/>
    <w:rsid w:val="00774A03"/>
    <w:rsid w:val="00777679"/>
    <w:rsid w:val="007854BE"/>
    <w:rsid w:val="00790A3D"/>
    <w:rsid w:val="007940F2"/>
    <w:rsid w:val="007947D9"/>
    <w:rsid w:val="007A30EC"/>
    <w:rsid w:val="007A7843"/>
    <w:rsid w:val="007B0CFF"/>
    <w:rsid w:val="007B30BE"/>
    <w:rsid w:val="007B73B6"/>
    <w:rsid w:val="007C3BA6"/>
    <w:rsid w:val="007C556D"/>
    <w:rsid w:val="007F0E23"/>
    <w:rsid w:val="007F1FBB"/>
    <w:rsid w:val="007F26DA"/>
    <w:rsid w:val="007F5FD3"/>
    <w:rsid w:val="007F6DB6"/>
    <w:rsid w:val="008061AB"/>
    <w:rsid w:val="00810E1B"/>
    <w:rsid w:val="0081574E"/>
    <w:rsid w:val="00821B9A"/>
    <w:rsid w:val="00822EFD"/>
    <w:rsid w:val="008243F5"/>
    <w:rsid w:val="00826258"/>
    <w:rsid w:val="008337FB"/>
    <w:rsid w:val="008420CE"/>
    <w:rsid w:val="0085679C"/>
    <w:rsid w:val="00870332"/>
    <w:rsid w:val="00880C8B"/>
    <w:rsid w:val="0089540A"/>
    <w:rsid w:val="0089591C"/>
    <w:rsid w:val="008965D8"/>
    <w:rsid w:val="008A1227"/>
    <w:rsid w:val="008A2172"/>
    <w:rsid w:val="008B58DD"/>
    <w:rsid w:val="008C38ED"/>
    <w:rsid w:val="008C6D6F"/>
    <w:rsid w:val="008E57F5"/>
    <w:rsid w:val="0090045F"/>
    <w:rsid w:val="00905558"/>
    <w:rsid w:val="009166BD"/>
    <w:rsid w:val="00927ED5"/>
    <w:rsid w:val="00942B42"/>
    <w:rsid w:val="00947F48"/>
    <w:rsid w:val="00961AF7"/>
    <w:rsid w:val="009736E9"/>
    <w:rsid w:val="009749F2"/>
    <w:rsid w:val="0098235C"/>
    <w:rsid w:val="00984417"/>
    <w:rsid w:val="00991339"/>
    <w:rsid w:val="00992FF0"/>
    <w:rsid w:val="00993653"/>
    <w:rsid w:val="0099397C"/>
    <w:rsid w:val="009A152E"/>
    <w:rsid w:val="009A7073"/>
    <w:rsid w:val="009B0EB8"/>
    <w:rsid w:val="009B17D3"/>
    <w:rsid w:val="009B1B42"/>
    <w:rsid w:val="009B1E2C"/>
    <w:rsid w:val="009C5103"/>
    <w:rsid w:val="009D2704"/>
    <w:rsid w:val="009E544F"/>
    <w:rsid w:val="009F12A3"/>
    <w:rsid w:val="009F1655"/>
    <w:rsid w:val="009F3C9E"/>
    <w:rsid w:val="009F7A90"/>
    <w:rsid w:val="00A01054"/>
    <w:rsid w:val="00A037A6"/>
    <w:rsid w:val="00A047C0"/>
    <w:rsid w:val="00A05887"/>
    <w:rsid w:val="00A10A7F"/>
    <w:rsid w:val="00A2327B"/>
    <w:rsid w:val="00A242C9"/>
    <w:rsid w:val="00A36542"/>
    <w:rsid w:val="00A55DD8"/>
    <w:rsid w:val="00A56B4F"/>
    <w:rsid w:val="00A70A4F"/>
    <w:rsid w:val="00A71FC5"/>
    <w:rsid w:val="00A74522"/>
    <w:rsid w:val="00A81911"/>
    <w:rsid w:val="00A846B2"/>
    <w:rsid w:val="00AA3BAC"/>
    <w:rsid w:val="00AA4A79"/>
    <w:rsid w:val="00AA4CF5"/>
    <w:rsid w:val="00AB32B5"/>
    <w:rsid w:val="00AB4B19"/>
    <w:rsid w:val="00AC2593"/>
    <w:rsid w:val="00AC41FE"/>
    <w:rsid w:val="00AD0F99"/>
    <w:rsid w:val="00AD4E55"/>
    <w:rsid w:val="00AE1C43"/>
    <w:rsid w:val="00AE46AB"/>
    <w:rsid w:val="00B01EE8"/>
    <w:rsid w:val="00B04376"/>
    <w:rsid w:val="00B07510"/>
    <w:rsid w:val="00B21E8D"/>
    <w:rsid w:val="00B22CDD"/>
    <w:rsid w:val="00B44329"/>
    <w:rsid w:val="00B520EC"/>
    <w:rsid w:val="00B66245"/>
    <w:rsid w:val="00B71774"/>
    <w:rsid w:val="00B74CC3"/>
    <w:rsid w:val="00B817C2"/>
    <w:rsid w:val="00B82202"/>
    <w:rsid w:val="00B84C2B"/>
    <w:rsid w:val="00B90B42"/>
    <w:rsid w:val="00B91CBA"/>
    <w:rsid w:val="00B93567"/>
    <w:rsid w:val="00B93E3D"/>
    <w:rsid w:val="00B95635"/>
    <w:rsid w:val="00B95D60"/>
    <w:rsid w:val="00BA2B18"/>
    <w:rsid w:val="00BB1E89"/>
    <w:rsid w:val="00BB5169"/>
    <w:rsid w:val="00BB78F3"/>
    <w:rsid w:val="00BC2A4D"/>
    <w:rsid w:val="00BE1608"/>
    <w:rsid w:val="00C04AC9"/>
    <w:rsid w:val="00C067BF"/>
    <w:rsid w:val="00C07F94"/>
    <w:rsid w:val="00C114CF"/>
    <w:rsid w:val="00C13433"/>
    <w:rsid w:val="00C25CE2"/>
    <w:rsid w:val="00C31199"/>
    <w:rsid w:val="00C34E4B"/>
    <w:rsid w:val="00C52B17"/>
    <w:rsid w:val="00C53A2E"/>
    <w:rsid w:val="00C55960"/>
    <w:rsid w:val="00C71B97"/>
    <w:rsid w:val="00C75158"/>
    <w:rsid w:val="00C804BE"/>
    <w:rsid w:val="00C813A9"/>
    <w:rsid w:val="00C826D6"/>
    <w:rsid w:val="00C85110"/>
    <w:rsid w:val="00CA23DC"/>
    <w:rsid w:val="00CA7AAC"/>
    <w:rsid w:val="00CB6812"/>
    <w:rsid w:val="00CC4BBF"/>
    <w:rsid w:val="00CF13DC"/>
    <w:rsid w:val="00CF5CB1"/>
    <w:rsid w:val="00D06721"/>
    <w:rsid w:val="00D108C6"/>
    <w:rsid w:val="00D25BF6"/>
    <w:rsid w:val="00D27FCB"/>
    <w:rsid w:val="00D33990"/>
    <w:rsid w:val="00D50332"/>
    <w:rsid w:val="00D51349"/>
    <w:rsid w:val="00D61829"/>
    <w:rsid w:val="00D671F7"/>
    <w:rsid w:val="00D71206"/>
    <w:rsid w:val="00D803F5"/>
    <w:rsid w:val="00D85DA5"/>
    <w:rsid w:val="00D93DE4"/>
    <w:rsid w:val="00D97DFA"/>
    <w:rsid w:val="00DB7BCE"/>
    <w:rsid w:val="00DC272B"/>
    <w:rsid w:val="00DC39CA"/>
    <w:rsid w:val="00DC3E97"/>
    <w:rsid w:val="00DD107C"/>
    <w:rsid w:val="00DD2FEA"/>
    <w:rsid w:val="00DE30C0"/>
    <w:rsid w:val="00DF5093"/>
    <w:rsid w:val="00E0130C"/>
    <w:rsid w:val="00E0342F"/>
    <w:rsid w:val="00E071F4"/>
    <w:rsid w:val="00E07651"/>
    <w:rsid w:val="00E1146C"/>
    <w:rsid w:val="00E24922"/>
    <w:rsid w:val="00E502F3"/>
    <w:rsid w:val="00E61A9E"/>
    <w:rsid w:val="00E6296B"/>
    <w:rsid w:val="00E64F69"/>
    <w:rsid w:val="00E718FA"/>
    <w:rsid w:val="00E76AE0"/>
    <w:rsid w:val="00E80395"/>
    <w:rsid w:val="00E81449"/>
    <w:rsid w:val="00E84B96"/>
    <w:rsid w:val="00E872FA"/>
    <w:rsid w:val="00E8770C"/>
    <w:rsid w:val="00E929F0"/>
    <w:rsid w:val="00E93113"/>
    <w:rsid w:val="00EA77D4"/>
    <w:rsid w:val="00ED1E0D"/>
    <w:rsid w:val="00EE2B5D"/>
    <w:rsid w:val="00EE341E"/>
    <w:rsid w:val="00F023AC"/>
    <w:rsid w:val="00F11C69"/>
    <w:rsid w:val="00F15518"/>
    <w:rsid w:val="00F155D9"/>
    <w:rsid w:val="00F17444"/>
    <w:rsid w:val="00F177D7"/>
    <w:rsid w:val="00F17F3F"/>
    <w:rsid w:val="00F20309"/>
    <w:rsid w:val="00F22876"/>
    <w:rsid w:val="00F23D3B"/>
    <w:rsid w:val="00F25442"/>
    <w:rsid w:val="00F32164"/>
    <w:rsid w:val="00F57643"/>
    <w:rsid w:val="00F60833"/>
    <w:rsid w:val="00F61D91"/>
    <w:rsid w:val="00F62F22"/>
    <w:rsid w:val="00F63180"/>
    <w:rsid w:val="00F63C02"/>
    <w:rsid w:val="00F66FA8"/>
    <w:rsid w:val="00F7390A"/>
    <w:rsid w:val="00F751D8"/>
    <w:rsid w:val="00F827BC"/>
    <w:rsid w:val="00F8585E"/>
    <w:rsid w:val="00F919AD"/>
    <w:rsid w:val="00F97AA3"/>
    <w:rsid w:val="00FA7CB4"/>
    <w:rsid w:val="00FD4365"/>
    <w:rsid w:val="00FE3F3E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3FDADB77"/>
  <w15:chartTrackingRefBased/>
  <w15:docId w15:val="{219ACC8A-BF69-4F34-B928-473F9F59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25D"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25D"/>
    <w:pPr>
      <w:spacing w:before="0" w:after="0"/>
      <w:jc w:val="left"/>
    </w:pPr>
    <w:rPr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5525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45525D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5525D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525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525D"/>
    <w:rPr>
      <w:shd w:val="clear" w:color="auto" w:fill="auto"/>
      <w:vertAlign w:val="superscript"/>
    </w:rPr>
  </w:style>
  <w:style w:type="paragraph" w:customStyle="1" w:styleId="Point0number">
    <w:name w:val="Point 0 (number)"/>
    <w:basedOn w:val="Normal"/>
    <w:rsid w:val="0045525D"/>
    <w:pPr>
      <w:numPr>
        <w:numId w:val="7"/>
      </w:numPr>
    </w:pPr>
  </w:style>
  <w:style w:type="paragraph" w:customStyle="1" w:styleId="Point1number">
    <w:name w:val="Point 1 (number)"/>
    <w:basedOn w:val="Normal"/>
    <w:rsid w:val="0045525D"/>
    <w:pPr>
      <w:numPr>
        <w:ilvl w:val="2"/>
        <w:numId w:val="7"/>
      </w:numPr>
    </w:pPr>
  </w:style>
  <w:style w:type="paragraph" w:customStyle="1" w:styleId="Point2number">
    <w:name w:val="Point 2 (number)"/>
    <w:basedOn w:val="Normal"/>
    <w:rsid w:val="0045525D"/>
    <w:pPr>
      <w:numPr>
        <w:ilvl w:val="4"/>
        <w:numId w:val="7"/>
      </w:numPr>
    </w:pPr>
  </w:style>
  <w:style w:type="paragraph" w:customStyle="1" w:styleId="Point3number">
    <w:name w:val="Point 3 (number)"/>
    <w:basedOn w:val="Normal"/>
    <w:rsid w:val="0045525D"/>
    <w:pPr>
      <w:numPr>
        <w:ilvl w:val="6"/>
        <w:numId w:val="7"/>
      </w:numPr>
    </w:pPr>
  </w:style>
  <w:style w:type="paragraph" w:customStyle="1" w:styleId="Point0letter">
    <w:name w:val="Point 0 (letter)"/>
    <w:basedOn w:val="Normal"/>
    <w:rsid w:val="0045525D"/>
    <w:pPr>
      <w:numPr>
        <w:ilvl w:val="1"/>
        <w:numId w:val="7"/>
      </w:numPr>
    </w:pPr>
  </w:style>
  <w:style w:type="paragraph" w:customStyle="1" w:styleId="Point1letter">
    <w:name w:val="Point 1 (letter)"/>
    <w:basedOn w:val="Normal"/>
    <w:rsid w:val="0045525D"/>
    <w:pPr>
      <w:numPr>
        <w:ilvl w:val="3"/>
        <w:numId w:val="7"/>
      </w:numPr>
    </w:pPr>
  </w:style>
  <w:style w:type="paragraph" w:customStyle="1" w:styleId="Point2letter">
    <w:name w:val="Point 2 (letter)"/>
    <w:basedOn w:val="Normal"/>
    <w:rsid w:val="0045525D"/>
    <w:pPr>
      <w:numPr>
        <w:ilvl w:val="5"/>
        <w:numId w:val="7"/>
      </w:numPr>
    </w:pPr>
  </w:style>
  <w:style w:type="paragraph" w:customStyle="1" w:styleId="Point3letter">
    <w:name w:val="Point 3 (letter)"/>
    <w:basedOn w:val="Normal"/>
    <w:rsid w:val="0045525D"/>
    <w:pPr>
      <w:numPr>
        <w:ilvl w:val="7"/>
        <w:numId w:val="7"/>
      </w:numPr>
    </w:pPr>
  </w:style>
  <w:style w:type="paragraph" w:customStyle="1" w:styleId="Point4letter">
    <w:name w:val="Point 4 (letter)"/>
    <w:basedOn w:val="Normal"/>
    <w:rsid w:val="0045525D"/>
    <w:pPr>
      <w:numPr>
        <w:ilvl w:val="8"/>
        <w:numId w:val="7"/>
      </w:numPr>
    </w:pPr>
  </w:style>
  <w:style w:type="paragraph" w:customStyle="1" w:styleId="Annexetitre">
    <w:name w:val="Annexe titre"/>
    <w:basedOn w:val="Normal"/>
    <w:next w:val="Normal"/>
    <w:link w:val="AnnexetitreChar"/>
    <w:rsid w:val="0045525D"/>
    <w:pPr>
      <w:jc w:val="center"/>
    </w:pPr>
    <w:rPr>
      <w:b/>
      <w:u w:val="single"/>
    </w:rPr>
  </w:style>
  <w:style w:type="character" w:customStyle="1" w:styleId="Marker">
    <w:name w:val="Marker"/>
    <w:basedOn w:val="DefaultParagraphFont"/>
    <w:rsid w:val="00F155D9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F155D9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F155D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55D9"/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F155D9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AnnexetitreChar">
    <w:name w:val="Annexe titre Char"/>
    <w:basedOn w:val="DefaultParagraphFont"/>
    <w:link w:val="Annexetitre"/>
    <w:rsid w:val="00F155D9"/>
    <w:rPr>
      <w:rFonts w:ascii="Times New Roman" w:hAnsi="Times New Roman" w:cs="Times New Roman"/>
      <w:b/>
      <w:sz w:val="24"/>
      <w:u w:val="single"/>
    </w:rPr>
  </w:style>
  <w:style w:type="character" w:customStyle="1" w:styleId="FooterCoverPageChar">
    <w:name w:val="Footer Cover Page Char"/>
    <w:basedOn w:val="AnnexetitreChar"/>
    <w:link w:val="FooterCoverPage"/>
    <w:rsid w:val="00F155D9"/>
    <w:rPr>
      <w:rFonts w:ascii="Times New Roman" w:hAnsi="Times New Roman" w:cs="Times New Roman"/>
      <w:b w:val="0"/>
      <w:sz w:val="24"/>
      <w:u w:val="single"/>
    </w:rPr>
  </w:style>
  <w:style w:type="paragraph" w:customStyle="1" w:styleId="FooterSensitivity">
    <w:name w:val="Footer Sensitivity"/>
    <w:basedOn w:val="Normal"/>
    <w:link w:val="FooterSensitivityChar"/>
    <w:rsid w:val="00F155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AnnexetitreChar"/>
    <w:link w:val="FooterSensitivity"/>
    <w:rsid w:val="00F155D9"/>
    <w:rPr>
      <w:rFonts w:ascii="Times New Roman" w:hAnsi="Times New Roman" w:cs="Times New Roman"/>
      <w:b/>
      <w:sz w:val="32"/>
      <w:u w:val="single"/>
    </w:rPr>
  </w:style>
  <w:style w:type="paragraph" w:customStyle="1" w:styleId="HeaderCoverPage">
    <w:name w:val="Header Cover Page"/>
    <w:basedOn w:val="Normal"/>
    <w:link w:val="HeaderCoverPageChar"/>
    <w:rsid w:val="00F155D9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AnnexetitreChar"/>
    <w:link w:val="HeaderCoverPage"/>
    <w:rsid w:val="00F155D9"/>
    <w:rPr>
      <w:rFonts w:ascii="Times New Roman" w:hAnsi="Times New Roman" w:cs="Times New Roman"/>
      <w:b w:val="0"/>
      <w:sz w:val="24"/>
      <w:u w:val="single"/>
    </w:rPr>
  </w:style>
  <w:style w:type="paragraph" w:customStyle="1" w:styleId="HeaderSensitivity">
    <w:name w:val="Header Sensitivity"/>
    <w:basedOn w:val="Normal"/>
    <w:link w:val="HeaderSensitivityChar"/>
    <w:rsid w:val="00F155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AnnexetitreChar"/>
    <w:link w:val="HeaderSensitivity"/>
    <w:rsid w:val="00F155D9"/>
    <w:rPr>
      <w:rFonts w:ascii="Times New Roman" w:hAnsi="Times New Roman" w:cs="Times New Roman"/>
      <w:b/>
      <w:sz w:val="32"/>
      <w:u w:val="single"/>
    </w:rPr>
  </w:style>
  <w:style w:type="paragraph" w:customStyle="1" w:styleId="HeaderSensitivityRight">
    <w:name w:val="Header Sensitivity Right"/>
    <w:basedOn w:val="Normal"/>
    <w:link w:val="HeaderSensitivityRightChar"/>
    <w:rsid w:val="00F155D9"/>
    <w:pPr>
      <w:spacing w:before="0"/>
      <w:jc w:val="right"/>
    </w:pPr>
    <w:rPr>
      <w:sz w:val="28"/>
    </w:rPr>
  </w:style>
  <w:style w:type="character" w:customStyle="1" w:styleId="HeaderSensitivityRightChar">
    <w:name w:val="Header Sensitivity Right Char"/>
    <w:basedOn w:val="AnnexetitreChar"/>
    <w:link w:val="HeaderSensitivityRight"/>
    <w:rsid w:val="00F155D9"/>
    <w:rPr>
      <w:rFonts w:ascii="Times New Roman" w:hAnsi="Times New Roman" w:cs="Times New Roman"/>
      <w:b w:val="0"/>
      <w:sz w:val="2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6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65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65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6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6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14CF"/>
    <w:pPr>
      <w:ind w:left="720"/>
      <w:contextualSpacing/>
    </w:pPr>
  </w:style>
  <w:style w:type="paragraph" w:styleId="Revision">
    <w:name w:val="Revision"/>
    <w:hidden/>
    <w:uiPriority w:val="99"/>
    <w:semiHidden/>
    <w:rsid w:val="00A56B4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E6E7C"/>
    <w:rPr>
      <w:color w:val="0000FF"/>
      <w:u w:val="single"/>
    </w:rPr>
  </w:style>
  <w:style w:type="paragraph" w:customStyle="1" w:styleId="title-doc-first">
    <w:name w:val="title-doc-first"/>
    <w:basedOn w:val="Normal"/>
    <w:rsid w:val="00730EA6"/>
    <w:pPr>
      <w:spacing w:before="100" w:beforeAutospacing="1" w:after="100" w:afterAutospacing="1"/>
      <w:jc w:val="left"/>
    </w:pPr>
    <w:rPr>
      <w:rFonts w:eastAsia="Times New Roman"/>
      <w:szCs w:val="24"/>
      <w:lang w:val="en-US"/>
    </w:rPr>
  </w:style>
  <w:style w:type="paragraph" w:customStyle="1" w:styleId="title-doc-last">
    <w:name w:val="title-doc-last"/>
    <w:basedOn w:val="Normal"/>
    <w:rsid w:val="00730EA6"/>
    <w:pPr>
      <w:spacing w:before="100" w:beforeAutospacing="1" w:after="100" w:afterAutospacing="1"/>
      <w:jc w:val="left"/>
    </w:pPr>
    <w:rPr>
      <w:rFonts w:eastAsia="Times New Roman"/>
      <w:szCs w:val="24"/>
      <w:lang w:val="en-US"/>
    </w:rPr>
  </w:style>
  <w:style w:type="paragraph" w:customStyle="1" w:styleId="title-doc-oj-reference">
    <w:name w:val="title-doc-oj-reference"/>
    <w:basedOn w:val="Normal"/>
    <w:rsid w:val="00730EA6"/>
    <w:pPr>
      <w:spacing w:before="100" w:beforeAutospacing="1" w:after="100" w:afterAutospacing="1"/>
      <w:jc w:val="left"/>
    </w:pPr>
    <w:rPr>
      <w:rFonts w:eastAsia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F455-BCB8-41E6-B7DA-66C5E683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5671</Characters>
  <Application>Microsoft Office Word</Application>
  <DocSecurity>4</DocSecurity>
  <Lines>131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Nathalie (GROW)</dc:creator>
  <cp:keywords/>
  <dc:description/>
  <cp:lastModifiedBy>THOMAS Nathalie (GROW)</cp:lastModifiedBy>
  <cp:revision>2</cp:revision>
  <dcterms:created xsi:type="dcterms:W3CDTF">2022-04-06T06:52:00Z</dcterms:created>
  <dcterms:modified xsi:type="dcterms:W3CDTF">2022-04-06T06:52:00Z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8.0, Build 20220128</vt:lpwstr>
  </property>
  <property fmtid="{D5CDD505-2E9C-101B-9397-08002B2CF9AE}" pid="11" name="Created using">
    <vt:lpwstr>LW 7.0, Build 20190717</vt:lpwstr>
  </property>
</Properties>
</file>