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E1E" w:rsidRPr="004D7E1E" w:rsidRDefault="004D7E1E" w:rsidP="004D7E1E">
      <w:pPr>
        <w:rPr>
          <w:b/>
          <w:sz w:val="32"/>
          <w:szCs w:val="28"/>
        </w:rPr>
      </w:pPr>
      <w:r w:rsidRPr="004D7E1E">
        <w:rPr>
          <w:b/>
          <w:sz w:val="32"/>
          <w:szCs w:val="28"/>
        </w:rPr>
        <w:t xml:space="preserve">Beispiel </w:t>
      </w:r>
      <w:proofErr w:type="spellStart"/>
      <w:r w:rsidRPr="004D7E1E">
        <w:rPr>
          <w:b/>
          <w:sz w:val="32"/>
          <w:szCs w:val="28"/>
        </w:rPr>
        <w:t>Auftragsverarbeiterverzeichnis</w:t>
      </w:r>
      <w:proofErr w:type="spellEnd"/>
      <w:r w:rsidRPr="004D7E1E">
        <w:rPr>
          <w:b/>
          <w:sz w:val="32"/>
          <w:szCs w:val="28"/>
        </w:rPr>
        <w:t xml:space="preserve"> Direktmarketing</w:t>
      </w:r>
    </w:p>
    <w:p w:rsidR="004D7E1E" w:rsidRDefault="004D7E1E" w:rsidP="00BB4AF8">
      <w:pPr>
        <w:jc w:val="center"/>
        <w:rPr>
          <w:b/>
          <w:sz w:val="28"/>
          <w:szCs w:val="28"/>
        </w:rPr>
      </w:pPr>
    </w:p>
    <w:p w:rsidR="004D7E1E" w:rsidRDefault="004D7E1E" w:rsidP="00BB4AF8">
      <w:pPr>
        <w:jc w:val="center"/>
        <w:rPr>
          <w:b/>
          <w:sz w:val="28"/>
          <w:szCs w:val="28"/>
        </w:rPr>
      </w:pPr>
    </w:p>
    <w:p w:rsidR="00BB4AF8" w:rsidRPr="00BB4AF8" w:rsidRDefault="00BB4AF8" w:rsidP="00BB4AF8">
      <w:pPr>
        <w:pStyle w:val="Listenabsatz"/>
        <w:numPr>
          <w:ilvl w:val="0"/>
          <w:numId w:val="16"/>
        </w:numPr>
        <w:jc w:val="center"/>
        <w:rPr>
          <w:b/>
          <w:sz w:val="28"/>
          <w:szCs w:val="28"/>
        </w:rPr>
      </w:pPr>
      <w:r w:rsidRPr="00BB4AF8">
        <w:rPr>
          <w:b/>
          <w:sz w:val="28"/>
          <w:szCs w:val="28"/>
        </w:rPr>
        <w:t xml:space="preserve">Stammblatt des </w:t>
      </w:r>
      <w:proofErr w:type="spellStart"/>
      <w:r w:rsidRPr="00BB4AF8">
        <w:rPr>
          <w:b/>
          <w:sz w:val="28"/>
          <w:szCs w:val="28"/>
        </w:rPr>
        <w:t>Auftragsverarbeiters</w:t>
      </w:r>
      <w:proofErr w:type="spellEnd"/>
    </w:p>
    <w:p w:rsidR="00BB4AF8" w:rsidRDefault="00BB4AF8" w:rsidP="00BB4AF8"/>
    <w:p w:rsidR="00BB4AF8" w:rsidRDefault="00BB4AF8" w:rsidP="00BB4AF8"/>
    <w:p w:rsidR="00BB4AF8" w:rsidRPr="0095277F" w:rsidRDefault="00BB4AF8" w:rsidP="00BB4AF8">
      <w:pPr>
        <w:pStyle w:val="Listenabsatz"/>
        <w:numPr>
          <w:ilvl w:val="0"/>
          <w:numId w:val="15"/>
        </w:numPr>
        <w:ind w:left="284" w:hanging="284"/>
        <w:rPr>
          <w:b/>
        </w:rPr>
      </w:pPr>
      <w:r>
        <w:rPr>
          <w:b/>
        </w:rPr>
        <w:t>Name und Kontaktdaten des Auftragsverarbeiters/der Auftragsverarbeiter</w:t>
      </w:r>
    </w:p>
    <w:p w:rsidR="00BB4AF8" w:rsidRDefault="00BB4AF8" w:rsidP="00BB4AF8">
      <w:pPr>
        <w:pStyle w:val="Listenabsatz"/>
      </w:pPr>
    </w:p>
    <w:p w:rsidR="00BB4AF8" w:rsidRPr="0095277F" w:rsidRDefault="00BB4AF8" w:rsidP="00BB4AF8">
      <w:pPr>
        <w:pStyle w:val="Listenabsatz"/>
        <w:numPr>
          <w:ilvl w:val="1"/>
          <w:numId w:val="15"/>
        </w:numPr>
        <w:ind w:left="567" w:hanging="283"/>
        <w:rPr>
          <w:b/>
        </w:rPr>
      </w:pPr>
      <w:r w:rsidRPr="0095277F">
        <w:rPr>
          <w:b/>
        </w:rPr>
        <w:t>Name und Anschrift</w:t>
      </w:r>
      <w:r>
        <w:rPr>
          <w:b/>
        </w:rPr>
        <w:t>:</w:t>
      </w:r>
      <w:r w:rsidR="005D6C1D">
        <w:rPr>
          <w:b/>
        </w:rPr>
        <w:t xml:space="preserve"> </w:t>
      </w:r>
      <w:r w:rsidR="005D6C1D" w:rsidRPr="005D6C1D">
        <w:rPr>
          <w:rFonts w:cs="Calibri-Bold"/>
          <w:color w:val="7F7F7F"/>
          <w:szCs w:val="22"/>
          <w:lang w:val="de-AT" w:eastAsia="en-US"/>
        </w:rPr>
        <w:t>Kreativ GmbH, Müllerstraße 1a 1040 Wien</w:t>
      </w:r>
    </w:p>
    <w:p w:rsidR="00BB4AF8" w:rsidRPr="0095277F" w:rsidRDefault="00BB4AF8" w:rsidP="00BB4AF8">
      <w:pPr>
        <w:pStyle w:val="Listenabsatz"/>
        <w:ind w:left="567" w:hanging="283"/>
        <w:rPr>
          <w:b/>
        </w:rPr>
      </w:pPr>
    </w:p>
    <w:p w:rsidR="00BB4AF8" w:rsidRDefault="00BB4AF8" w:rsidP="00BB4AF8">
      <w:pPr>
        <w:pStyle w:val="Listenabsatz"/>
        <w:numPr>
          <w:ilvl w:val="1"/>
          <w:numId w:val="15"/>
        </w:numPr>
        <w:ind w:left="567" w:hanging="283"/>
        <w:rPr>
          <w:b/>
        </w:rPr>
      </w:pPr>
      <w:r w:rsidRPr="0095277F">
        <w:rPr>
          <w:b/>
        </w:rPr>
        <w:t>E-Mail-Adresse</w:t>
      </w:r>
      <w:r>
        <w:rPr>
          <w:b/>
        </w:rPr>
        <w:t xml:space="preserve"> (und allenfalls weitere Kontaktdaten wie </w:t>
      </w:r>
      <w:proofErr w:type="spellStart"/>
      <w:r>
        <w:rPr>
          <w:b/>
        </w:rPr>
        <w:t>zB</w:t>
      </w:r>
      <w:proofErr w:type="spellEnd"/>
      <w:r>
        <w:rPr>
          <w:b/>
        </w:rPr>
        <w:t xml:space="preserve"> </w:t>
      </w:r>
      <w:proofErr w:type="spellStart"/>
      <w:r>
        <w:rPr>
          <w:b/>
        </w:rPr>
        <w:t>Tel.Nr</w:t>
      </w:r>
      <w:proofErr w:type="spellEnd"/>
      <w:r>
        <w:rPr>
          <w:b/>
        </w:rPr>
        <w:t>.):</w:t>
      </w:r>
    </w:p>
    <w:p w:rsidR="00BB4AF8" w:rsidRPr="005D6C1D" w:rsidRDefault="005D6C1D" w:rsidP="005D6C1D">
      <w:pPr>
        <w:pStyle w:val="Listenabsatz"/>
        <w:ind w:left="567"/>
        <w:rPr>
          <w:rFonts w:cs="Calibri-Bold"/>
          <w:color w:val="7F7F7F"/>
          <w:szCs w:val="22"/>
          <w:lang w:val="de-AT" w:eastAsia="en-US"/>
        </w:rPr>
      </w:pPr>
      <w:r w:rsidRPr="005D6C1D">
        <w:rPr>
          <w:rFonts w:cs="Calibri-Bold"/>
          <w:color w:val="7F7F7F"/>
          <w:szCs w:val="22"/>
          <w:lang w:val="de-AT" w:eastAsia="en-US"/>
        </w:rPr>
        <w:t>Max Müller, 0043 664 123 45 67</w:t>
      </w:r>
    </w:p>
    <w:p w:rsidR="00BB4AF8" w:rsidRDefault="00BB4AF8" w:rsidP="00BB4AF8">
      <w:pPr>
        <w:pStyle w:val="Listenabsatz"/>
        <w:numPr>
          <w:ilvl w:val="1"/>
          <w:numId w:val="15"/>
        </w:numPr>
        <w:ind w:left="567" w:hanging="283"/>
        <w:rPr>
          <w:b/>
        </w:rPr>
      </w:pPr>
      <w:r>
        <w:rPr>
          <w:b/>
        </w:rPr>
        <w:t xml:space="preserve">Name und </w:t>
      </w:r>
      <w:r w:rsidRPr="0095277F">
        <w:rPr>
          <w:b/>
        </w:rPr>
        <w:t>Kontaktdaten</w:t>
      </w:r>
      <w:r>
        <w:rPr>
          <w:b/>
        </w:rPr>
        <w:t xml:space="preserve"> (Anschrift, E-Mail und allenfalls weitere Kontaktdaten wie </w:t>
      </w:r>
      <w:proofErr w:type="spellStart"/>
      <w:r>
        <w:rPr>
          <w:b/>
        </w:rPr>
        <w:t>zB</w:t>
      </w:r>
      <w:proofErr w:type="spellEnd"/>
      <w:r>
        <w:rPr>
          <w:b/>
        </w:rPr>
        <w:t xml:space="preserve"> </w:t>
      </w:r>
      <w:proofErr w:type="spellStart"/>
      <w:r>
        <w:rPr>
          <w:b/>
        </w:rPr>
        <w:t>Tel.Nr</w:t>
      </w:r>
      <w:proofErr w:type="spellEnd"/>
      <w:r>
        <w:rPr>
          <w:b/>
        </w:rPr>
        <w:t>.)</w:t>
      </w:r>
      <w:r w:rsidRPr="0095277F">
        <w:rPr>
          <w:b/>
        </w:rPr>
        <w:t xml:space="preserve"> des Datenschutzbeauftragten</w:t>
      </w:r>
      <w:r>
        <w:rPr>
          <w:b/>
        </w:rPr>
        <w:t xml:space="preserve"> des </w:t>
      </w:r>
      <w:proofErr w:type="spellStart"/>
      <w:r>
        <w:rPr>
          <w:b/>
        </w:rPr>
        <w:t>Auftragsverarbeiters</w:t>
      </w:r>
      <w:proofErr w:type="spellEnd"/>
      <w:r w:rsidRPr="0095277F">
        <w:rPr>
          <w:rStyle w:val="Funotenzeichen"/>
          <w:b/>
        </w:rPr>
        <w:footnoteReference w:id="1"/>
      </w:r>
      <w:r>
        <w:rPr>
          <w:b/>
        </w:rPr>
        <w:t>:</w:t>
      </w:r>
    </w:p>
    <w:p w:rsidR="005D6C1D" w:rsidRPr="005D6C1D" w:rsidRDefault="005D6C1D" w:rsidP="005D6C1D">
      <w:pPr>
        <w:pStyle w:val="Listenabsatz"/>
        <w:rPr>
          <w:b/>
        </w:rPr>
      </w:pPr>
    </w:p>
    <w:p w:rsidR="00BB4AF8" w:rsidRDefault="00BB4AF8" w:rsidP="00BB4AF8"/>
    <w:p w:rsidR="00BB4AF8" w:rsidRDefault="00BB4AF8" w:rsidP="00BB4AF8"/>
    <w:p w:rsidR="00BB4AF8" w:rsidRPr="00BB4AF8" w:rsidRDefault="00BB4AF8" w:rsidP="00BB4AF8">
      <w:pPr>
        <w:pStyle w:val="Listenabsatz"/>
        <w:numPr>
          <w:ilvl w:val="0"/>
          <w:numId w:val="16"/>
        </w:numPr>
        <w:jc w:val="center"/>
        <w:rPr>
          <w:b/>
          <w:sz w:val="28"/>
          <w:szCs w:val="28"/>
        </w:rPr>
      </w:pPr>
      <w:r w:rsidRPr="00BB4AF8">
        <w:rPr>
          <w:b/>
          <w:sz w:val="28"/>
          <w:szCs w:val="28"/>
        </w:rPr>
        <w:t>Stammblatt zum Verantwortlichen, in dessen Namen Daten verarbeitet werden, und Angaben zur Auftragsdatenverarbeitung</w:t>
      </w:r>
    </w:p>
    <w:p w:rsidR="00BB4AF8" w:rsidRDefault="00BB4AF8" w:rsidP="00BB4AF8"/>
    <w:p w:rsidR="00BB4AF8" w:rsidRDefault="00BB4AF8" w:rsidP="00BB4AF8"/>
    <w:p w:rsidR="00BB4AF8" w:rsidRPr="0095277F" w:rsidRDefault="00BB4AF8" w:rsidP="00BB4AF8">
      <w:pPr>
        <w:pStyle w:val="Listenabsatz"/>
        <w:numPr>
          <w:ilvl w:val="0"/>
          <w:numId w:val="15"/>
        </w:numPr>
        <w:ind w:left="284" w:hanging="284"/>
        <w:rPr>
          <w:b/>
        </w:rPr>
      </w:pPr>
      <w:r w:rsidRPr="0095277F">
        <w:rPr>
          <w:b/>
        </w:rPr>
        <w:t>Name und Kontaktdaten des</w:t>
      </w:r>
      <w:r>
        <w:rPr>
          <w:b/>
        </w:rPr>
        <w:t xml:space="preserve"> (der)</w:t>
      </w:r>
      <w:r w:rsidRPr="0095277F">
        <w:rPr>
          <w:b/>
        </w:rPr>
        <w:t xml:space="preserve"> für die Verarbeitung </w:t>
      </w:r>
      <w:r>
        <w:rPr>
          <w:b/>
        </w:rPr>
        <w:t xml:space="preserve">(gemeinsam) </w:t>
      </w:r>
      <w:r w:rsidRPr="0095277F">
        <w:rPr>
          <w:b/>
        </w:rPr>
        <w:t>Verantwortlichen</w:t>
      </w:r>
      <w:r>
        <w:rPr>
          <w:b/>
        </w:rPr>
        <w:t xml:space="preserve"> (=Auftraggeber)</w:t>
      </w:r>
    </w:p>
    <w:p w:rsidR="00BB4AF8" w:rsidRDefault="00BB4AF8" w:rsidP="00BB4AF8">
      <w:pPr>
        <w:pStyle w:val="Listenabsatz"/>
      </w:pPr>
    </w:p>
    <w:p w:rsidR="00BB4AF8" w:rsidRDefault="00BB4AF8" w:rsidP="00BB4AF8">
      <w:pPr>
        <w:pStyle w:val="Listenabsatz"/>
        <w:numPr>
          <w:ilvl w:val="1"/>
          <w:numId w:val="15"/>
        </w:numPr>
        <w:ind w:left="567" w:hanging="283"/>
        <w:rPr>
          <w:b/>
        </w:rPr>
      </w:pPr>
      <w:r w:rsidRPr="0095277F">
        <w:rPr>
          <w:b/>
        </w:rPr>
        <w:t>Name</w:t>
      </w:r>
      <w:r>
        <w:rPr>
          <w:b/>
        </w:rPr>
        <w:t>(n)</w:t>
      </w:r>
      <w:r w:rsidRPr="0095277F">
        <w:rPr>
          <w:b/>
        </w:rPr>
        <w:t xml:space="preserve"> und Anschrift</w:t>
      </w:r>
      <w:r>
        <w:rPr>
          <w:b/>
        </w:rPr>
        <w:t>(en):</w:t>
      </w:r>
      <w:r w:rsidR="005D6C1D">
        <w:rPr>
          <w:b/>
        </w:rPr>
        <w:t xml:space="preserve"> </w:t>
      </w:r>
      <w:r w:rsidR="005D6C1D" w:rsidRPr="005D6C1D">
        <w:rPr>
          <w:b/>
          <w:color w:val="7F7F7F" w:themeColor="text1" w:themeTint="80"/>
        </w:rPr>
        <w:t xml:space="preserve">XXX Möbel GmbH, </w:t>
      </w:r>
      <w:proofErr w:type="spellStart"/>
      <w:r w:rsidR="005D6C1D" w:rsidRPr="005D6C1D">
        <w:rPr>
          <w:b/>
          <w:color w:val="7F7F7F" w:themeColor="text1" w:themeTint="80"/>
        </w:rPr>
        <w:t>Funderstraße</w:t>
      </w:r>
      <w:proofErr w:type="spellEnd"/>
      <w:r w:rsidR="005D6C1D" w:rsidRPr="005D6C1D">
        <w:rPr>
          <w:b/>
          <w:color w:val="7F7F7F" w:themeColor="text1" w:themeTint="80"/>
        </w:rPr>
        <w:t xml:space="preserve"> 4, 1020 Wien</w:t>
      </w:r>
    </w:p>
    <w:p w:rsidR="00BB4AF8" w:rsidRPr="0095277F" w:rsidRDefault="00BB4AF8" w:rsidP="00BB4AF8">
      <w:pPr>
        <w:pStyle w:val="Listenabsatz"/>
        <w:ind w:left="567" w:hanging="283"/>
        <w:rPr>
          <w:b/>
        </w:rPr>
      </w:pPr>
    </w:p>
    <w:p w:rsidR="00BB4AF8" w:rsidRPr="005D6C1D" w:rsidRDefault="00BB4AF8" w:rsidP="00BB4AF8">
      <w:pPr>
        <w:pStyle w:val="Listenabsatz"/>
        <w:numPr>
          <w:ilvl w:val="1"/>
          <w:numId w:val="15"/>
        </w:numPr>
        <w:ind w:left="567" w:hanging="283"/>
        <w:rPr>
          <w:b/>
          <w:color w:val="7F7F7F" w:themeColor="text1" w:themeTint="80"/>
        </w:rPr>
      </w:pPr>
      <w:r w:rsidRPr="0095277F">
        <w:rPr>
          <w:b/>
        </w:rPr>
        <w:t>E-Mail-Adresse</w:t>
      </w:r>
      <w:r>
        <w:rPr>
          <w:b/>
        </w:rPr>
        <w:t xml:space="preserve">(n) (und allenfalls weitere Kontaktdaten wie </w:t>
      </w:r>
      <w:proofErr w:type="spellStart"/>
      <w:r>
        <w:rPr>
          <w:b/>
        </w:rPr>
        <w:t>zB</w:t>
      </w:r>
      <w:proofErr w:type="spellEnd"/>
      <w:r>
        <w:rPr>
          <w:b/>
        </w:rPr>
        <w:t xml:space="preserve"> </w:t>
      </w:r>
      <w:proofErr w:type="spellStart"/>
      <w:r>
        <w:rPr>
          <w:b/>
        </w:rPr>
        <w:t>Tel.Nr</w:t>
      </w:r>
      <w:proofErr w:type="spellEnd"/>
      <w:r>
        <w:rPr>
          <w:b/>
        </w:rPr>
        <w:t>.):</w:t>
      </w:r>
      <w:r w:rsidR="005D6C1D">
        <w:rPr>
          <w:b/>
        </w:rPr>
        <w:t xml:space="preserve"> </w:t>
      </w:r>
      <w:r w:rsidR="005D6C1D" w:rsidRPr="005D6C1D">
        <w:rPr>
          <w:b/>
          <w:color w:val="7F7F7F" w:themeColor="text1" w:themeTint="80"/>
        </w:rPr>
        <w:t>DI Reinhard Gruber</w:t>
      </w:r>
      <w:r w:rsidR="005D6C1D">
        <w:rPr>
          <w:b/>
          <w:color w:val="7F7F7F" w:themeColor="text1" w:themeTint="80"/>
        </w:rPr>
        <w:t>, GF der XXX Möbel GmbH</w:t>
      </w:r>
    </w:p>
    <w:p w:rsidR="00BB4AF8" w:rsidRPr="0095277F" w:rsidRDefault="00BB4AF8" w:rsidP="00BB4AF8">
      <w:pPr>
        <w:ind w:left="567" w:hanging="283"/>
        <w:rPr>
          <w:b/>
        </w:rPr>
      </w:pPr>
    </w:p>
    <w:p w:rsidR="00BB4AF8" w:rsidRDefault="00BB4AF8" w:rsidP="00BB4AF8">
      <w:pPr>
        <w:pStyle w:val="Listenabsatz"/>
        <w:numPr>
          <w:ilvl w:val="1"/>
          <w:numId w:val="15"/>
        </w:numPr>
        <w:ind w:left="567" w:hanging="283"/>
        <w:rPr>
          <w:b/>
        </w:rPr>
      </w:pPr>
      <w:r>
        <w:rPr>
          <w:b/>
        </w:rPr>
        <w:t xml:space="preserve">Name und </w:t>
      </w:r>
      <w:r w:rsidRPr="0095277F">
        <w:rPr>
          <w:b/>
        </w:rPr>
        <w:t>Kontaktdaten</w:t>
      </w:r>
      <w:r>
        <w:rPr>
          <w:b/>
        </w:rPr>
        <w:t xml:space="preserve"> (Anschrift, E-Mail und allenfalls weitere Kontaktdaten wie </w:t>
      </w:r>
      <w:proofErr w:type="spellStart"/>
      <w:r>
        <w:rPr>
          <w:b/>
        </w:rPr>
        <w:t>zB</w:t>
      </w:r>
      <w:proofErr w:type="spellEnd"/>
      <w:r>
        <w:rPr>
          <w:b/>
        </w:rPr>
        <w:t xml:space="preserve"> </w:t>
      </w:r>
      <w:proofErr w:type="spellStart"/>
      <w:r>
        <w:rPr>
          <w:b/>
        </w:rPr>
        <w:t>Tel.Nr</w:t>
      </w:r>
      <w:proofErr w:type="spellEnd"/>
      <w:r>
        <w:rPr>
          <w:b/>
        </w:rPr>
        <w:t>.)</w:t>
      </w:r>
      <w:r w:rsidRPr="0095277F">
        <w:rPr>
          <w:b/>
        </w:rPr>
        <w:t xml:space="preserve"> des Datenschutzbeauftragten</w:t>
      </w:r>
      <w:r>
        <w:rPr>
          <w:b/>
        </w:rPr>
        <w:t>:</w:t>
      </w:r>
      <w:r w:rsidRPr="00677661">
        <w:rPr>
          <w:b/>
          <w:vertAlign w:val="superscript"/>
        </w:rPr>
        <w:t>1</w:t>
      </w:r>
    </w:p>
    <w:p w:rsidR="00BB4AF8" w:rsidRDefault="00BB4AF8" w:rsidP="00BB4AF8">
      <w:pPr>
        <w:pStyle w:val="Listenabsatz"/>
        <w:ind w:left="567" w:hanging="283"/>
        <w:rPr>
          <w:b/>
        </w:rPr>
      </w:pPr>
    </w:p>
    <w:p w:rsidR="00BB4AF8" w:rsidRDefault="00BB4AF8" w:rsidP="00BB4AF8">
      <w:pPr>
        <w:pStyle w:val="Listenabsatz"/>
        <w:numPr>
          <w:ilvl w:val="1"/>
          <w:numId w:val="15"/>
        </w:numPr>
        <w:ind w:left="567" w:hanging="283"/>
        <w:rPr>
          <w:b/>
        </w:rPr>
      </w:pPr>
      <w:r>
        <w:rPr>
          <w:b/>
        </w:rPr>
        <w:t xml:space="preserve">Name und Kontaktdaten (Anschrift, E-Mail und allenfalls weitere Kontaktdaten wie </w:t>
      </w:r>
      <w:proofErr w:type="spellStart"/>
      <w:r>
        <w:rPr>
          <w:b/>
        </w:rPr>
        <w:t>zB</w:t>
      </w:r>
      <w:proofErr w:type="spellEnd"/>
      <w:r>
        <w:rPr>
          <w:b/>
        </w:rPr>
        <w:t xml:space="preserve"> </w:t>
      </w:r>
      <w:proofErr w:type="spellStart"/>
      <w:r>
        <w:rPr>
          <w:b/>
        </w:rPr>
        <w:t>Tel.Nr</w:t>
      </w:r>
      <w:proofErr w:type="spellEnd"/>
      <w:r>
        <w:rPr>
          <w:b/>
        </w:rPr>
        <w:t>.)</w:t>
      </w:r>
      <w:r w:rsidRPr="0095277F">
        <w:rPr>
          <w:b/>
        </w:rPr>
        <w:t xml:space="preserve"> </w:t>
      </w:r>
      <w:r>
        <w:rPr>
          <w:b/>
        </w:rPr>
        <w:t>des Vertreters des (der) Verantwortlichen:</w:t>
      </w:r>
      <w:r>
        <w:rPr>
          <w:rStyle w:val="Funotenzeichen"/>
          <w:b/>
        </w:rPr>
        <w:footnoteReference w:id="2"/>
      </w:r>
    </w:p>
    <w:p w:rsidR="00BB4AF8" w:rsidRPr="006B6D44" w:rsidRDefault="00BB4AF8" w:rsidP="00BB4AF8">
      <w:pPr>
        <w:pStyle w:val="Listenabsatz"/>
        <w:rPr>
          <w:b/>
        </w:rPr>
      </w:pPr>
    </w:p>
    <w:p w:rsidR="00BB4AF8" w:rsidRDefault="00BB4AF8" w:rsidP="00BB4AF8"/>
    <w:p w:rsidR="00BB4AF8" w:rsidRPr="009146FB" w:rsidRDefault="00BB4AF8" w:rsidP="00BB4AF8">
      <w:pPr>
        <w:pStyle w:val="Listenabsatz"/>
        <w:numPr>
          <w:ilvl w:val="0"/>
          <w:numId w:val="15"/>
        </w:numPr>
        <w:ind w:left="284" w:hanging="284"/>
        <w:rPr>
          <w:b/>
        </w:rPr>
      </w:pPr>
      <w:r w:rsidRPr="009146FB">
        <w:rPr>
          <w:b/>
        </w:rPr>
        <w:t xml:space="preserve">Kategorien </w:t>
      </w:r>
      <w:r>
        <w:rPr>
          <w:b/>
        </w:rPr>
        <w:t>von Verarbeitungen, die im Auftrag des konkreten Verantwortlichen durchgeführt werden</w:t>
      </w:r>
    </w:p>
    <w:p w:rsidR="00BB4AF8" w:rsidRPr="005D6C1D" w:rsidRDefault="005D6C1D" w:rsidP="00BB4AF8">
      <w:pPr>
        <w:pStyle w:val="Listenabsatz"/>
        <w:ind w:left="284"/>
        <w:rPr>
          <w:color w:val="7F7F7F" w:themeColor="text1" w:themeTint="80"/>
        </w:rPr>
      </w:pPr>
      <w:r w:rsidRPr="005D6C1D">
        <w:rPr>
          <w:color w:val="7F7F7F" w:themeColor="text1" w:themeTint="80"/>
        </w:rPr>
        <w:t xml:space="preserve">Versand des XXX Möbel GmbH Newsletter, </w:t>
      </w:r>
      <w:proofErr w:type="spellStart"/>
      <w:r w:rsidRPr="005D6C1D">
        <w:rPr>
          <w:color w:val="7F7F7F" w:themeColor="text1" w:themeTint="80"/>
        </w:rPr>
        <w:t>Direct</w:t>
      </w:r>
      <w:proofErr w:type="spellEnd"/>
      <w:r w:rsidRPr="005D6C1D">
        <w:rPr>
          <w:color w:val="7F7F7F" w:themeColor="text1" w:themeTint="80"/>
        </w:rPr>
        <w:t xml:space="preserve"> Marketing Zusendungen an Bonuscard-</w:t>
      </w:r>
      <w:bookmarkStart w:id="0" w:name="_GoBack"/>
      <w:bookmarkEnd w:id="0"/>
      <w:r w:rsidRPr="005D6C1D">
        <w:rPr>
          <w:color w:val="7F7F7F" w:themeColor="text1" w:themeTint="80"/>
        </w:rPr>
        <w:t>Kunden</w:t>
      </w:r>
    </w:p>
    <w:p w:rsidR="00BB4AF8" w:rsidRDefault="00BB4AF8" w:rsidP="00BB4AF8"/>
    <w:p w:rsidR="0090464A" w:rsidRDefault="0090464A" w:rsidP="00BB4AF8"/>
    <w:p w:rsidR="0090464A" w:rsidRDefault="0090464A" w:rsidP="00BB4AF8"/>
    <w:p w:rsidR="00BB4AF8" w:rsidRPr="00DA55BC" w:rsidRDefault="00BB4AF8" w:rsidP="00BB4AF8">
      <w:pPr>
        <w:pStyle w:val="Listenabsatz"/>
        <w:numPr>
          <w:ilvl w:val="0"/>
          <w:numId w:val="15"/>
        </w:numPr>
        <w:ind w:left="284" w:hanging="284"/>
        <w:rPr>
          <w:b/>
        </w:rPr>
      </w:pPr>
      <w:r w:rsidRPr="00DA55BC">
        <w:rPr>
          <w:b/>
        </w:rPr>
        <w:t xml:space="preserve">Übermittlung </w:t>
      </w:r>
      <w:r>
        <w:rPr>
          <w:b/>
        </w:rPr>
        <w:t>von personenbezogenen Daten</w:t>
      </w:r>
      <w:r w:rsidRPr="00DA55BC">
        <w:rPr>
          <w:b/>
        </w:rPr>
        <w:t xml:space="preserve"> in Drittländer, inkl. internationale Organisationen</w:t>
      </w:r>
    </w:p>
    <w:p w:rsidR="00BB4AF8" w:rsidRDefault="00BB4AF8" w:rsidP="00BB4AF8">
      <w:pPr>
        <w:pStyle w:val="Listenabsatz"/>
        <w:ind w:left="1440"/>
      </w:pPr>
    </w:p>
    <w:p w:rsidR="00BB4AF8" w:rsidRDefault="005D6C1D" w:rsidP="00BB4AF8">
      <w:pPr>
        <w:pStyle w:val="Listenabsatz"/>
        <w:numPr>
          <w:ilvl w:val="1"/>
          <w:numId w:val="15"/>
        </w:numPr>
        <w:ind w:left="567" w:hanging="283"/>
      </w:pPr>
      <w:r>
        <w:rPr>
          <w:noProof/>
          <w:lang w:val="de-AT" w:eastAsia="de-AT"/>
        </w:rPr>
        <w:drawing>
          <wp:anchor distT="0" distB="0" distL="114300" distR="114300" simplePos="0" relativeHeight="251661312" behindDoc="1" locked="0" layoutInCell="1" allowOverlap="1" wp14:anchorId="2D5705BF" wp14:editId="7E8443A1">
            <wp:simplePos x="0" y="0"/>
            <wp:positionH relativeFrom="column">
              <wp:posOffset>2258704</wp:posOffset>
            </wp:positionH>
            <wp:positionV relativeFrom="paragraph">
              <wp:posOffset>40688</wp:posOffset>
            </wp:positionV>
            <wp:extent cx="138430" cy="111760"/>
            <wp:effectExtent l="0" t="0" r="0" b="2540"/>
            <wp:wrapTight wrapText="bothSides">
              <wp:wrapPolygon edited="0">
                <wp:start x="0" y="0"/>
                <wp:lineTo x="0" y="18409"/>
                <wp:lineTo x="17835" y="18409"/>
                <wp:lineTo x="1783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r w:rsidR="00BB4AF8">
        <w:t xml:space="preserve">Ja </w:t>
      </w:r>
      <w:r w:rsidR="00BB4AF8">
        <w:tab/>
      </w:r>
      <w:r w:rsidR="00BB4AF8" w:rsidRPr="00DA55BC">
        <w:sym w:font="Wingdings" w:char="F0A8"/>
      </w:r>
      <w:r w:rsidR="00BB4AF8">
        <w:tab/>
      </w:r>
      <w:r w:rsidR="00BB4AF8">
        <w:tab/>
        <w:t>Nein</w:t>
      </w:r>
      <w:r w:rsidR="00BB4AF8">
        <w:tab/>
        <w:t xml:space="preserve">   </w:t>
      </w:r>
    </w:p>
    <w:p w:rsidR="00BB4AF8" w:rsidRDefault="00BB4AF8" w:rsidP="00BB4AF8">
      <w:pPr>
        <w:ind w:left="567" w:hanging="283"/>
      </w:pPr>
    </w:p>
    <w:p w:rsidR="00BB4AF8" w:rsidRDefault="00BB4AF8" w:rsidP="00BB4AF8">
      <w:pPr>
        <w:pStyle w:val="Listenabsatz"/>
        <w:ind w:left="567"/>
      </w:pPr>
      <w:r>
        <w:t>Wenn ja, Angabe des betreffenden Drittlandes bzw. der internationalen Organisation:</w:t>
      </w:r>
    </w:p>
    <w:p w:rsidR="00BB4AF8" w:rsidRDefault="00BB4AF8" w:rsidP="00BB4AF8">
      <w:pPr>
        <w:ind w:left="567" w:hanging="283"/>
      </w:pPr>
    </w:p>
    <w:p w:rsidR="00BB4AF8" w:rsidRDefault="00BB4AF8" w:rsidP="00BB4AF8">
      <w:pPr>
        <w:ind w:left="567" w:hanging="283"/>
      </w:pPr>
    </w:p>
    <w:p w:rsidR="00BB4AF8" w:rsidRPr="00DA55BC" w:rsidRDefault="00BB4AF8" w:rsidP="00BB4AF8">
      <w:pPr>
        <w:pStyle w:val="Listenabsatz"/>
        <w:numPr>
          <w:ilvl w:val="1"/>
          <w:numId w:val="15"/>
        </w:numPr>
        <w:ind w:left="567" w:hanging="283"/>
      </w:pPr>
      <w:r w:rsidRPr="00DA55BC">
        <w:t>Dokumentation der getroffenen geeigneten Garantien im Falle einer Übermittlung in Drittstaaten die nicht auf Art 45, 46, 47 oder 49 Abs 1 Unterabsatz 1 DSGVO erfolgt</w:t>
      </w:r>
      <w:r>
        <w:t xml:space="preserve"> (vor allem wenn kein Angemessenheitsbeschluss der Europäischen Kommission vorliegt, keine Standardvertragsklauseln der Europäischen Kommission oder der nationalen Datenschutzbehörde verwendet werden oder genehmigte Zertifizierungsmechanismen in Anspruch genommen werden, keine </w:t>
      </w:r>
      <w:r w:rsidR="00974D3C">
        <w:t>B</w:t>
      </w:r>
      <w:r>
        <w:t xml:space="preserve">inding </w:t>
      </w:r>
      <w:r w:rsidR="00974D3C">
        <w:t>Corporate R</w:t>
      </w:r>
      <w:r>
        <w:t>ules zur Anwendung kommen (genehmigte verbindliche konzerninterne Datenschutzvorschriften), die Übermittlung nicht für Vertragserfüllungszwecke erforderlich ist oder keine ausdr</w:t>
      </w:r>
      <w:r w:rsidR="00406DF0">
        <w:t>ückliche Einwilligung vorliegt)</w:t>
      </w:r>
      <w:r w:rsidRPr="00DA55BC">
        <w:t>:</w:t>
      </w:r>
      <w:r w:rsidRPr="00DA55BC">
        <w:rPr>
          <w:rStyle w:val="Funotenzeichen"/>
        </w:rPr>
        <w:footnoteReference w:id="3"/>
      </w:r>
    </w:p>
    <w:p w:rsidR="00BB4AF8" w:rsidRDefault="00BB4AF8" w:rsidP="00BB4AF8"/>
    <w:p w:rsidR="00BB4AF8" w:rsidRDefault="00BB4AF8" w:rsidP="00BB4AF8"/>
    <w:p w:rsidR="00BB4AF8" w:rsidRDefault="00BB4AF8" w:rsidP="00BB4AF8"/>
    <w:p w:rsidR="00BB4AF8" w:rsidRDefault="00BB4AF8" w:rsidP="00BB4AF8"/>
    <w:p w:rsidR="00BB4AF8" w:rsidRPr="007C4720" w:rsidRDefault="00BB4AF8" w:rsidP="00BB4AF8">
      <w:pPr>
        <w:pStyle w:val="Listenabsatz"/>
        <w:numPr>
          <w:ilvl w:val="0"/>
          <w:numId w:val="16"/>
        </w:numPr>
        <w:jc w:val="center"/>
        <w:rPr>
          <w:b/>
          <w:sz w:val="28"/>
          <w:szCs w:val="28"/>
        </w:rPr>
      </w:pPr>
      <w:r w:rsidRPr="007C4720">
        <w:rPr>
          <w:b/>
          <w:sz w:val="28"/>
          <w:szCs w:val="28"/>
        </w:rPr>
        <w:t>Allgemeine Beschreibung der technisch-organisatorischen M</w:t>
      </w:r>
      <w:r w:rsidR="00970A8A">
        <w:rPr>
          <w:b/>
          <w:sz w:val="28"/>
          <w:szCs w:val="28"/>
        </w:rPr>
        <w:t>aßnahmen</w:t>
      </w:r>
    </w:p>
    <w:p w:rsidR="00BB4AF8" w:rsidRDefault="00BB4AF8" w:rsidP="00BB4AF8"/>
    <w:p w:rsidR="00CC572E" w:rsidRDefault="00CC572E" w:rsidP="00CC572E"/>
    <w:p w:rsidR="005D6C1D" w:rsidRPr="0090464A" w:rsidRDefault="005D6C1D" w:rsidP="0090464A">
      <w:pPr>
        <w:pStyle w:val="Listenabsatz"/>
        <w:numPr>
          <w:ilvl w:val="0"/>
          <w:numId w:val="18"/>
        </w:numPr>
        <w:rPr>
          <w:b/>
        </w:rPr>
      </w:pPr>
      <w:r w:rsidRPr="0090464A">
        <w:rPr>
          <w:b/>
        </w:rPr>
        <w:t>Vertraulichkeit</w:t>
      </w:r>
      <w:r w:rsidR="00CE5C00" w:rsidRPr="0090464A">
        <w:rPr>
          <w:b/>
        </w:rPr>
        <w:t xml:space="preserve"> (</w:t>
      </w:r>
      <w:proofErr w:type="spellStart"/>
      <w:r w:rsidR="00CE5C00" w:rsidRPr="0090464A">
        <w:rPr>
          <w:b/>
        </w:rPr>
        <w:t>Pseudonymisierung</w:t>
      </w:r>
      <w:proofErr w:type="spellEnd"/>
      <w:r w:rsidR="00CE5C00" w:rsidRPr="0090464A">
        <w:rPr>
          <w:b/>
        </w:rPr>
        <w:t xml:space="preserve"> und Verschlüsselung)</w:t>
      </w:r>
      <w:r w:rsidRPr="00CE5C00">
        <w:rPr>
          <w:rStyle w:val="Funotenzeichen"/>
          <w:b/>
        </w:rPr>
        <w:footnoteReference w:id="4"/>
      </w:r>
      <w:r w:rsidRPr="0090464A">
        <w:rPr>
          <w:b/>
        </w:rPr>
        <w:t>:</w:t>
      </w:r>
    </w:p>
    <w:p w:rsidR="0090464A" w:rsidRDefault="005D6C1D" w:rsidP="0090464A">
      <w:pPr>
        <w:ind w:left="1065"/>
      </w:pPr>
      <w:r>
        <w:t>Der Zugang zum Rechenzentrum sowie anderen sicherheitskritischen Bereichen ist geregelt und nur befugten Personen möglich. Alle Systeme sind vor unbefugter Systembenutzung zumindest durch Einsatz von Passwörtern, im Regelfall aber</w:t>
      </w:r>
      <w:r w:rsidR="0090464A">
        <w:t xml:space="preserve"> </w:t>
      </w:r>
      <w:r>
        <w:t>durch Zwei-Faktor-Authentifizierung geschützt. Festplatten der Endgeräte (PC, Notebooks) sind zusätzlich verschlüsselt. Allen Benutzern steht einerseits ein persönliches Laufwerk, das nur von diesen selbst einsehbar ist, sowie zusätzliche Serverlaufwerke, die nur berechtigten und authentifizierten anderen Benutzern zugänglich sind, zur Verfügung.</w:t>
      </w:r>
    </w:p>
    <w:p w:rsidR="0090464A" w:rsidRDefault="0090464A" w:rsidP="0090464A">
      <w:pPr>
        <w:ind w:left="1065"/>
      </w:pPr>
    </w:p>
    <w:p w:rsidR="005D6C1D" w:rsidRPr="0090464A" w:rsidRDefault="005D6C1D" w:rsidP="0090464A">
      <w:pPr>
        <w:pStyle w:val="Listenabsatz"/>
        <w:numPr>
          <w:ilvl w:val="0"/>
          <w:numId w:val="18"/>
        </w:numPr>
      </w:pPr>
      <w:r w:rsidRPr="0090464A">
        <w:rPr>
          <w:b/>
        </w:rPr>
        <w:t>Integrität</w:t>
      </w:r>
      <w:r w:rsidRPr="0090464A">
        <w:rPr>
          <w:rStyle w:val="Funotenzeichen"/>
          <w:b/>
        </w:rPr>
        <w:t xml:space="preserve"> </w:t>
      </w:r>
      <w:r w:rsidRPr="00CE5C00">
        <w:rPr>
          <w:rStyle w:val="Funotenzeichen"/>
          <w:b/>
        </w:rPr>
        <w:footnoteReference w:id="5"/>
      </w:r>
      <w:r w:rsidR="00CE5C00" w:rsidRPr="0090464A">
        <w:rPr>
          <w:rStyle w:val="Funotenzeichen"/>
          <w:b/>
        </w:rPr>
        <w:t>:</w:t>
      </w:r>
    </w:p>
    <w:p w:rsidR="0090464A" w:rsidRDefault="005D6C1D" w:rsidP="0090464A">
      <w:pPr>
        <w:ind w:left="1065"/>
      </w:pPr>
      <w:r>
        <w:t>Die Integrität verarbeiteter Daten wird einerseits durch die vorhandenen Berechtigungssysteme, andererseits durchgeregelte Testmethoden vor Implementierung neuer Anwendungen sichergestellt. Zusätzlich kommen technische Maßnahmen wie Transportverschlüsselung, durchgehender Einsatz von VPN-Verbindungen und flächendeckender Einsatz von Virenschutzprogrammen zum Einsatz. Soweit aufgrund des Schutzbedarfs der Daten notwendig und technisch umsetzbar, werden Protokollierungsmaßnahmen eingesetzt.</w:t>
      </w:r>
    </w:p>
    <w:p w:rsidR="0090464A" w:rsidRDefault="0090464A" w:rsidP="0090464A">
      <w:pPr>
        <w:ind w:left="1065"/>
      </w:pPr>
    </w:p>
    <w:p w:rsidR="0090464A" w:rsidRDefault="0090464A" w:rsidP="0090464A">
      <w:pPr>
        <w:ind w:left="1065"/>
      </w:pPr>
    </w:p>
    <w:p w:rsidR="005D6C1D" w:rsidRPr="0090464A" w:rsidRDefault="005D6C1D" w:rsidP="0090464A">
      <w:pPr>
        <w:pStyle w:val="Listenabsatz"/>
        <w:numPr>
          <w:ilvl w:val="0"/>
          <w:numId w:val="18"/>
        </w:numPr>
        <w:rPr>
          <w:b/>
        </w:rPr>
      </w:pPr>
      <w:r w:rsidRPr="0090464A">
        <w:rPr>
          <w:b/>
        </w:rPr>
        <w:t>Verfügbarkeit und Belastbarkeit:</w:t>
      </w:r>
    </w:p>
    <w:p w:rsidR="0090464A" w:rsidRDefault="005D6C1D" w:rsidP="0090464A">
      <w:pPr>
        <w:ind w:left="1065"/>
      </w:pPr>
      <w:r>
        <w:t>Der Sicherstellung der Verfügbarkeit erfolgt über das zentrale Monitoring der kritischen Systeme mit Hilfe automatisierter Lösungen. Zur Wiederherstellung der Funktionsfähigkeit sind umfassende Datensicherungen sowie Wiederherstellungsdokumentationen verfügbar.</w:t>
      </w:r>
    </w:p>
    <w:p w:rsidR="0090464A" w:rsidRDefault="0090464A" w:rsidP="0090464A">
      <w:pPr>
        <w:ind w:left="1065"/>
      </w:pPr>
    </w:p>
    <w:p w:rsidR="005D6C1D" w:rsidRPr="0090464A" w:rsidRDefault="005D6C1D" w:rsidP="0090464A">
      <w:pPr>
        <w:pStyle w:val="Listenabsatz"/>
        <w:numPr>
          <w:ilvl w:val="0"/>
          <w:numId w:val="18"/>
        </w:numPr>
        <w:rPr>
          <w:b/>
        </w:rPr>
      </w:pPr>
      <w:r w:rsidRPr="0090464A">
        <w:rPr>
          <w:b/>
        </w:rPr>
        <w:t>Periodische Evaluierung:</w:t>
      </w:r>
    </w:p>
    <w:p w:rsidR="0090464A" w:rsidRDefault="005D6C1D" w:rsidP="0090464A">
      <w:pPr>
        <w:ind w:left="1065"/>
      </w:pPr>
      <w:r>
        <w:t>Es erfolgen regelmäßige Checks, gegebenenfalls auch externe Audits der eingesetzten Sicherheitsmaßnahmen. Zumindest jährlich werden die Sicherheitsstandards überprüft und aktualisiert.</w:t>
      </w:r>
    </w:p>
    <w:p w:rsidR="0090464A" w:rsidRDefault="0090464A" w:rsidP="0090464A">
      <w:pPr>
        <w:ind w:left="1065"/>
      </w:pPr>
    </w:p>
    <w:p w:rsidR="005D6C1D" w:rsidRPr="0090464A" w:rsidRDefault="005D6C1D" w:rsidP="0090464A">
      <w:pPr>
        <w:pStyle w:val="Listenabsatz"/>
        <w:numPr>
          <w:ilvl w:val="0"/>
          <w:numId w:val="18"/>
        </w:numPr>
        <w:rPr>
          <w:b/>
        </w:rPr>
      </w:pPr>
      <w:r w:rsidRPr="0090464A">
        <w:rPr>
          <w:b/>
        </w:rPr>
        <w:t>Awareness und Benutzerschulungen:</w:t>
      </w:r>
    </w:p>
    <w:p w:rsidR="00CC572E" w:rsidRDefault="005D6C1D" w:rsidP="0090464A">
      <w:pPr>
        <w:ind w:left="1065"/>
      </w:pPr>
      <w:r>
        <w:t xml:space="preserve">Die angemessene Information der </w:t>
      </w:r>
      <w:proofErr w:type="spellStart"/>
      <w:r>
        <w:t>BenutzerInnen</w:t>
      </w:r>
      <w:proofErr w:type="spellEnd"/>
      <w:r>
        <w:t xml:space="preserve"> wird einerseits durch das IT-Sicherheitshandbuch für </w:t>
      </w:r>
      <w:proofErr w:type="spellStart"/>
      <w:r>
        <w:t>MitarbeiterInnen</w:t>
      </w:r>
      <w:proofErr w:type="spellEnd"/>
      <w:r>
        <w:t>, andererseits durch entsprechende Kurse und Veranstaltungen zu Sicherheit und Datenschutzsichergestellt. Eine umfassende Auflistung der Sicherheitsvorkehrungen ist dem Dokument „IT Security Standard“ zu entnehmen.</w:t>
      </w:r>
    </w:p>
    <w:p w:rsidR="00CE5C00" w:rsidRDefault="00CE5C00" w:rsidP="005D6C1D"/>
    <w:p w:rsidR="00CE5C00" w:rsidRPr="00CE5C00" w:rsidRDefault="00CE5C00" w:rsidP="00CE5C00">
      <w:pPr>
        <w:rPr>
          <w:b/>
        </w:rPr>
      </w:pPr>
    </w:p>
    <w:p w:rsidR="00CE5C00" w:rsidRPr="00EF09CA" w:rsidRDefault="00CE5C00" w:rsidP="00CE5C00">
      <w:pPr>
        <w:ind w:left="284" w:hanging="306"/>
        <w:rPr>
          <w:b/>
        </w:rPr>
      </w:pPr>
    </w:p>
    <w:p w:rsidR="00CE5C00" w:rsidRPr="00EF09CA" w:rsidRDefault="00CE5C00" w:rsidP="00CE5C00">
      <w:pPr>
        <w:ind w:left="284" w:hanging="306"/>
        <w:rPr>
          <w:b/>
        </w:rPr>
      </w:pPr>
    </w:p>
    <w:p w:rsidR="00CE5C00" w:rsidRPr="00EF09CA" w:rsidRDefault="00CE5C00" w:rsidP="00CE5C00">
      <w:pPr>
        <w:rPr>
          <w:b/>
        </w:rPr>
      </w:pPr>
    </w:p>
    <w:p w:rsidR="00CE5C00" w:rsidRDefault="00CE5C00" w:rsidP="005D6C1D"/>
    <w:sectPr w:rsidR="00CE5C00" w:rsidSect="00E736C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C1D" w:rsidRDefault="005D6C1D" w:rsidP="00DD7D20">
      <w:pPr>
        <w:spacing w:line="240" w:lineRule="auto"/>
      </w:pPr>
      <w:r>
        <w:separator/>
      </w:r>
    </w:p>
  </w:endnote>
  <w:endnote w:type="continuationSeparator" w:id="0">
    <w:p w:rsidR="005D6C1D" w:rsidRDefault="005D6C1D"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5B" w:rsidRDefault="00F4545B" w:rsidP="00F4545B">
    <w:pPr>
      <w:pStyle w:val="Fuzeile"/>
      <w:rPr>
        <w:sz w:val="18"/>
        <w:szCs w:val="18"/>
        <w:lang w:val="de-AT"/>
      </w:rPr>
    </w:pPr>
  </w:p>
  <w:p w:rsidR="00F4545B" w:rsidRDefault="00390430" w:rsidP="00F4545B">
    <w:pPr>
      <w:pStyle w:val="Fuzeile"/>
      <w:rPr>
        <w:sz w:val="18"/>
        <w:szCs w:val="18"/>
        <w:lang w:val="de-AT"/>
      </w:rPr>
    </w:pPr>
    <w:r>
      <w:rPr>
        <w:sz w:val="18"/>
        <w:szCs w:val="18"/>
        <w:lang w:val="de-AT"/>
      </w:rPr>
      <w:t>Stand 04</w:t>
    </w:r>
    <w:r w:rsidR="00F4545B">
      <w:rPr>
        <w:sz w:val="18"/>
        <w:szCs w:val="18"/>
        <w:lang w:val="de-AT"/>
      </w:rPr>
      <w:t>/2018</w:t>
    </w:r>
    <w:r w:rsidR="00F4545B">
      <w:rPr>
        <w:sz w:val="18"/>
        <w:szCs w:val="18"/>
        <w:lang w:val="de-AT"/>
      </w:rPr>
      <w:tab/>
      <w:t>Muster für Mitglieder des Fachverbandes Werbung &amp; Marktkommunikation</w:t>
    </w:r>
  </w:p>
  <w:p w:rsidR="005D6C1D" w:rsidRDefault="005D6C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C1D" w:rsidRDefault="005D6C1D" w:rsidP="00DD7D20">
      <w:pPr>
        <w:spacing w:line="240" w:lineRule="auto"/>
      </w:pPr>
      <w:r>
        <w:separator/>
      </w:r>
    </w:p>
  </w:footnote>
  <w:footnote w:type="continuationSeparator" w:id="0">
    <w:p w:rsidR="005D6C1D" w:rsidRDefault="005D6C1D" w:rsidP="00DD7D20">
      <w:pPr>
        <w:spacing w:line="240" w:lineRule="auto"/>
      </w:pPr>
      <w:r>
        <w:continuationSeparator/>
      </w:r>
    </w:p>
  </w:footnote>
  <w:footnote w:id="1">
    <w:p w:rsidR="005D6C1D" w:rsidRPr="00103109" w:rsidRDefault="005D6C1D" w:rsidP="00BB4AF8">
      <w:pPr>
        <w:pStyle w:val="Funotentext"/>
        <w:spacing w:line="240" w:lineRule="auto"/>
        <w:rPr>
          <w:lang w:val="de-AT"/>
        </w:rPr>
      </w:pPr>
      <w:r>
        <w:rPr>
          <w:rStyle w:val="Funotenzeichen"/>
        </w:rPr>
        <w:footnoteRef/>
      </w:r>
      <w:r>
        <w:t xml:space="preserve"> </w:t>
      </w:r>
      <w:r>
        <w:rPr>
          <w:lang w:val="de-AT"/>
        </w:rPr>
        <w:t xml:space="preserve">Sofern ein Datenschutzbeauftragter verpflichtend oder auf freiwilliger Basis bestellt wurde. </w:t>
      </w:r>
      <w:r>
        <w:rPr>
          <w:lang w:val="de-AT"/>
        </w:rPr>
        <w:br/>
      </w:r>
      <w:r w:rsidRPr="00BB4AF8">
        <w:rPr>
          <w:b/>
          <w:lang w:val="de-AT"/>
        </w:rPr>
        <w:t>HINWEIS:</w:t>
      </w:r>
      <w:r>
        <w:rPr>
          <w:lang w:val="de-AT"/>
        </w:rPr>
        <w:t xml:space="preserve"> Wenn keine Verpflichtung zur Bestellung eines Datenschutzbeauftragten besteht, der Verantwortliche aber freiwillig einen bestellen möchte, müssen trotzdem alle den Datenschutzbeauftragten betreffenden Bestimmungen der DSGVO eingehalten werden; möchte man das nicht, darf die bestellte Person nicht „</w:t>
      </w:r>
      <w:r w:rsidRPr="00856EB2">
        <w:rPr>
          <w:i/>
          <w:lang w:val="de-AT"/>
        </w:rPr>
        <w:t>Datenschutzbeauftragter</w:t>
      </w:r>
      <w:r>
        <w:rPr>
          <w:lang w:val="de-AT"/>
        </w:rPr>
        <w:t>“ genannt werden, sondern sollte eine andere Bezeichnung gewählt werden (</w:t>
      </w:r>
      <w:proofErr w:type="spellStart"/>
      <w:r>
        <w:rPr>
          <w:lang w:val="de-AT"/>
        </w:rPr>
        <w:t>zB</w:t>
      </w:r>
      <w:proofErr w:type="spellEnd"/>
      <w:r>
        <w:rPr>
          <w:lang w:val="de-AT"/>
        </w:rPr>
        <w:t xml:space="preserve"> „</w:t>
      </w:r>
      <w:r w:rsidRPr="00856EB2">
        <w:rPr>
          <w:i/>
          <w:lang w:val="de-AT"/>
        </w:rPr>
        <w:t>Datenschutzkoordinator</w:t>
      </w:r>
      <w:r>
        <w:rPr>
          <w:lang w:val="de-AT"/>
        </w:rPr>
        <w:t>“). Dieser kann, muss aber nicht ins V</w:t>
      </w:r>
      <w:r w:rsidRPr="00174327">
        <w:rPr>
          <w:lang w:val="de-AT"/>
        </w:rPr>
        <w:t>erarbeitungsver</w:t>
      </w:r>
      <w:r>
        <w:rPr>
          <w:lang w:val="de-AT"/>
        </w:rPr>
        <w:t xml:space="preserve">zeichnis aufgenommen werden. Siehe dazu das WKO-Merkblatt </w:t>
      </w:r>
      <w:hyperlink r:id="rId1" w:history="1">
        <w:r w:rsidRPr="00BB4AF8">
          <w:rPr>
            <w:rStyle w:val="Hyperlink"/>
            <w:lang w:val="de-AT"/>
          </w:rPr>
          <w:t>„Datenschutzbeauftragter“</w:t>
        </w:r>
      </w:hyperlink>
      <w:r>
        <w:rPr>
          <w:lang w:val="de-AT"/>
        </w:rPr>
        <w:t>.</w:t>
      </w:r>
    </w:p>
  </w:footnote>
  <w:footnote w:id="2">
    <w:p w:rsidR="005D6C1D" w:rsidRPr="0094224E" w:rsidRDefault="005D6C1D" w:rsidP="00BB4AF8">
      <w:pPr>
        <w:pStyle w:val="Funotentext"/>
        <w:spacing w:line="240" w:lineRule="auto"/>
        <w:rPr>
          <w:lang w:val="de-AT"/>
        </w:rPr>
      </w:pPr>
      <w:r>
        <w:rPr>
          <w:rStyle w:val="Funotenzeichen"/>
        </w:rPr>
        <w:footnoteRef/>
      </w:r>
      <w:r>
        <w:t xml:space="preserve"> </w:t>
      </w:r>
      <w:r>
        <w:rPr>
          <w:lang w:val="de-AT"/>
        </w:rPr>
        <w:t>Darunter sind Vertreter von nicht in der EU niedergelassenen Verantwortlichen zu verstehen.</w:t>
      </w:r>
    </w:p>
  </w:footnote>
  <w:footnote w:id="3">
    <w:p w:rsidR="005D6C1D" w:rsidRPr="00CD0A75" w:rsidRDefault="005D6C1D" w:rsidP="00BB4AF8">
      <w:pPr>
        <w:pStyle w:val="Funotentext"/>
        <w:spacing w:line="240" w:lineRule="auto"/>
        <w:rPr>
          <w:lang w:val="de-AT"/>
        </w:rPr>
      </w:pPr>
      <w:r>
        <w:rPr>
          <w:rStyle w:val="Funotenzeichen"/>
        </w:rPr>
        <w:footnoteRef/>
      </w:r>
      <w:r>
        <w:t xml:space="preserve"> </w:t>
      </w:r>
      <w:r>
        <w:rPr>
          <w:lang w:val="de-AT"/>
        </w:rPr>
        <w:t xml:space="preserve">Siehe das Merkblatt der WKO </w:t>
      </w:r>
      <w:hyperlink r:id="rId2" w:history="1">
        <w:r w:rsidRPr="00BB4AF8">
          <w:rPr>
            <w:rStyle w:val="Hyperlink"/>
            <w:lang w:val="de-AT"/>
          </w:rPr>
          <w:t>„Internationalen Datenverkehr“</w:t>
        </w:r>
      </w:hyperlink>
      <w:r>
        <w:rPr>
          <w:lang w:val="de-AT"/>
        </w:rPr>
        <w:t>.</w:t>
      </w:r>
    </w:p>
  </w:footnote>
  <w:footnote w:id="4">
    <w:p w:rsidR="005D6C1D" w:rsidRPr="00C56211" w:rsidRDefault="005D6C1D" w:rsidP="005D6C1D">
      <w:pPr>
        <w:pStyle w:val="Funotentext"/>
        <w:spacing w:line="240" w:lineRule="auto"/>
        <w:jc w:val="both"/>
        <w:rPr>
          <w:szCs w:val="18"/>
          <w:lang w:val="de-AT"/>
        </w:rPr>
      </w:pPr>
      <w:r w:rsidRPr="00C56211">
        <w:rPr>
          <w:rStyle w:val="Funotenzeichen"/>
        </w:rPr>
        <w:footnoteRef/>
      </w:r>
      <w:r w:rsidRPr="00C56211">
        <w:t xml:space="preserve"> </w:t>
      </w:r>
      <w:r w:rsidRPr="00C56211">
        <w:rPr>
          <w:iCs/>
          <w:szCs w:val="18"/>
        </w:rPr>
        <w:t>Verhinderung von (unbeabsichtigter) Offenlegung oder unbefugten Zugang zu personenbezogenen Daten.</w:t>
      </w:r>
    </w:p>
  </w:footnote>
  <w:footnote w:id="5">
    <w:p w:rsidR="005D6C1D" w:rsidRPr="00C56211" w:rsidRDefault="005D6C1D" w:rsidP="005D6C1D">
      <w:pPr>
        <w:pStyle w:val="Funotentext"/>
        <w:spacing w:line="240" w:lineRule="auto"/>
        <w:rPr>
          <w:lang w:val="de-AT"/>
        </w:rPr>
      </w:pPr>
      <w:r w:rsidRPr="00C56211">
        <w:rPr>
          <w:rStyle w:val="Funotenzeichen"/>
        </w:rPr>
        <w:footnoteRef/>
      </w:r>
      <w:r w:rsidRPr="00C56211">
        <w:t xml:space="preserve"> </w:t>
      </w:r>
      <w:r w:rsidRPr="00C56211">
        <w:rPr>
          <w:rFonts w:cs="Calibri"/>
          <w:iCs/>
          <w:szCs w:val="18"/>
        </w:rPr>
        <w:t>Verhinderung von (unbeabsichtigter) Zerstörung/Vernichtung, (unbeabsichtigter) Schädigung, (unbeabsichtigtem) Verlust, (unbeabsichtigter) Veränderung von personenbezogenen Daten.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0C8C0ED4"/>
    <w:multiLevelType w:val="hybridMultilevel"/>
    <w:tmpl w:val="0576E7A0"/>
    <w:lvl w:ilvl="0" w:tplc="CEC29EA6">
      <w:numFmt w:val="bullet"/>
      <w:lvlText w:val="•"/>
      <w:lvlJc w:val="left"/>
      <w:pPr>
        <w:ind w:left="1065" w:hanging="705"/>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989"/>
    <w:multiLevelType w:val="hybridMultilevel"/>
    <w:tmpl w:val="C678864A"/>
    <w:lvl w:ilvl="0" w:tplc="F09C1506">
      <w:start w:val="1"/>
      <w:numFmt w:val="upp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31F4472"/>
    <w:multiLevelType w:val="hybridMultilevel"/>
    <w:tmpl w:val="40C89D96"/>
    <w:lvl w:ilvl="0" w:tplc="110AFA4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9"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2D047A5"/>
    <w:multiLevelType w:val="hybridMultilevel"/>
    <w:tmpl w:val="BAE446A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8E64575"/>
    <w:multiLevelType w:val="hybridMultilevel"/>
    <w:tmpl w:val="DE1ECE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5"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7"/>
  </w:num>
  <w:num w:numId="4">
    <w:abstractNumId w:val="8"/>
  </w:num>
  <w:num w:numId="5">
    <w:abstractNumId w:val="5"/>
  </w:num>
  <w:num w:numId="6">
    <w:abstractNumId w:val="0"/>
  </w:num>
  <w:num w:numId="7">
    <w:abstractNumId w:val="6"/>
  </w:num>
  <w:num w:numId="8">
    <w:abstractNumId w:val="10"/>
  </w:num>
  <w:num w:numId="9">
    <w:abstractNumId w:val="9"/>
  </w:num>
  <w:num w:numId="10">
    <w:abstractNumId w:val="16"/>
  </w:num>
  <w:num w:numId="11">
    <w:abstractNumId w:val="15"/>
  </w:num>
  <w:num w:numId="12">
    <w:abstractNumId w:val="14"/>
  </w:num>
  <w:num w:numId="13">
    <w:abstractNumId w:val="13"/>
  </w:num>
  <w:num w:numId="14">
    <w:abstractNumId w:val="7"/>
  </w:num>
  <w:num w:numId="15">
    <w:abstractNumId w:val="11"/>
  </w:num>
  <w:num w:numId="16">
    <w:abstractNumId w:val="3"/>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8E"/>
    <w:rsid w:val="00002CAE"/>
    <w:rsid w:val="0000713F"/>
    <w:rsid w:val="000127E2"/>
    <w:rsid w:val="00012D1A"/>
    <w:rsid w:val="00016D43"/>
    <w:rsid w:val="0003719F"/>
    <w:rsid w:val="00041E2C"/>
    <w:rsid w:val="000608E2"/>
    <w:rsid w:val="000641B8"/>
    <w:rsid w:val="00071001"/>
    <w:rsid w:val="00075857"/>
    <w:rsid w:val="00082C8C"/>
    <w:rsid w:val="000A71B3"/>
    <w:rsid w:val="000A71EA"/>
    <w:rsid w:val="000B229A"/>
    <w:rsid w:val="000B7268"/>
    <w:rsid w:val="000B7855"/>
    <w:rsid w:val="000C4EA0"/>
    <w:rsid w:val="000D607B"/>
    <w:rsid w:val="000D7CD2"/>
    <w:rsid w:val="000E2A00"/>
    <w:rsid w:val="000F1496"/>
    <w:rsid w:val="000F69DE"/>
    <w:rsid w:val="00102C32"/>
    <w:rsid w:val="00102E04"/>
    <w:rsid w:val="00103E15"/>
    <w:rsid w:val="001047CC"/>
    <w:rsid w:val="001059BE"/>
    <w:rsid w:val="00106C6F"/>
    <w:rsid w:val="00123FF7"/>
    <w:rsid w:val="00142250"/>
    <w:rsid w:val="001455FF"/>
    <w:rsid w:val="00166D5F"/>
    <w:rsid w:val="001675EA"/>
    <w:rsid w:val="00174327"/>
    <w:rsid w:val="00193FBA"/>
    <w:rsid w:val="001A04D8"/>
    <w:rsid w:val="001A1F7F"/>
    <w:rsid w:val="001A5B74"/>
    <w:rsid w:val="001C5380"/>
    <w:rsid w:val="001E2D12"/>
    <w:rsid w:val="001E3EE0"/>
    <w:rsid w:val="001F25D1"/>
    <w:rsid w:val="00200EC8"/>
    <w:rsid w:val="0020107C"/>
    <w:rsid w:val="002023B8"/>
    <w:rsid w:val="00213287"/>
    <w:rsid w:val="00220E0E"/>
    <w:rsid w:val="00226ADD"/>
    <w:rsid w:val="00226C86"/>
    <w:rsid w:val="00240497"/>
    <w:rsid w:val="002535CA"/>
    <w:rsid w:val="00253970"/>
    <w:rsid w:val="00261C4B"/>
    <w:rsid w:val="00271D63"/>
    <w:rsid w:val="00274D3E"/>
    <w:rsid w:val="00277E56"/>
    <w:rsid w:val="00283BF5"/>
    <w:rsid w:val="002971D3"/>
    <w:rsid w:val="002A2E36"/>
    <w:rsid w:val="002A6A53"/>
    <w:rsid w:val="002C33A7"/>
    <w:rsid w:val="002D4063"/>
    <w:rsid w:val="002E40B7"/>
    <w:rsid w:val="003258AF"/>
    <w:rsid w:val="00326AD7"/>
    <w:rsid w:val="00331C9B"/>
    <w:rsid w:val="003351AC"/>
    <w:rsid w:val="00346BAD"/>
    <w:rsid w:val="00353145"/>
    <w:rsid w:val="00354C94"/>
    <w:rsid w:val="00356823"/>
    <w:rsid w:val="0036585A"/>
    <w:rsid w:val="0037643C"/>
    <w:rsid w:val="00382B0A"/>
    <w:rsid w:val="00385222"/>
    <w:rsid w:val="00390430"/>
    <w:rsid w:val="003925AD"/>
    <w:rsid w:val="003C7BD4"/>
    <w:rsid w:val="003D1A2B"/>
    <w:rsid w:val="003D621A"/>
    <w:rsid w:val="003D70C4"/>
    <w:rsid w:val="003D7AD3"/>
    <w:rsid w:val="003E2344"/>
    <w:rsid w:val="003E3102"/>
    <w:rsid w:val="003F3096"/>
    <w:rsid w:val="003F6C84"/>
    <w:rsid w:val="003F72E9"/>
    <w:rsid w:val="003F792D"/>
    <w:rsid w:val="00406DF0"/>
    <w:rsid w:val="00411B54"/>
    <w:rsid w:val="004270E2"/>
    <w:rsid w:val="00442A54"/>
    <w:rsid w:val="00446AEB"/>
    <w:rsid w:val="00446BE3"/>
    <w:rsid w:val="00450DC1"/>
    <w:rsid w:val="00454F8D"/>
    <w:rsid w:val="004565CB"/>
    <w:rsid w:val="00470A23"/>
    <w:rsid w:val="00471400"/>
    <w:rsid w:val="00482ED1"/>
    <w:rsid w:val="00484B00"/>
    <w:rsid w:val="004A0C5F"/>
    <w:rsid w:val="004A2074"/>
    <w:rsid w:val="004C5BD9"/>
    <w:rsid w:val="004D5B87"/>
    <w:rsid w:val="004D7E1E"/>
    <w:rsid w:val="004F23C4"/>
    <w:rsid w:val="0050185E"/>
    <w:rsid w:val="005073AE"/>
    <w:rsid w:val="00510C62"/>
    <w:rsid w:val="005154D9"/>
    <w:rsid w:val="005246B6"/>
    <w:rsid w:val="00527B54"/>
    <w:rsid w:val="00531490"/>
    <w:rsid w:val="00547A59"/>
    <w:rsid w:val="005501F5"/>
    <w:rsid w:val="005534B9"/>
    <w:rsid w:val="00567A4F"/>
    <w:rsid w:val="00573358"/>
    <w:rsid w:val="00587B32"/>
    <w:rsid w:val="00596D89"/>
    <w:rsid w:val="005A7E33"/>
    <w:rsid w:val="005B7474"/>
    <w:rsid w:val="005B7B2B"/>
    <w:rsid w:val="005C382D"/>
    <w:rsid w:val="005C5376"/>
    <w:rsid w:val="005D0BA5"/>
    <w:rsid w:val="005D282D"/>
    <w:rsid w:val="005D3BF4"/>
    <w:rsid w:val="005D6B25"/>
    <w:rsid w:val="005D6C1D"/>
    <w:rsid w:val="005D714A"/>
    <w:rsid w:val="005F6829"/>
    <w:rsid w:val="0060268B"/>
    <w:rsid w:val="0060498F"/>
    <w:rsid w:val="00617DBA"/>
    <w:rsid w:val="00626C2B"/>
    <w:rsid w:val="00631FED"/>
    <w:rsid w:val="006327CF"/>
    <w:rsid w:val="00640476"/>
    <w:rsid w:val="0066391E"/>
    <w:rsid w:val="00665515"/>
    <w:rsid w:val="00667712"/>
    <w:rsid w:val="00680302"/>
    <w:rsid w:val="0068635C"/>
    <w:rsid w:val="006A78D2"/>
    <w:rsid w:val="006B464D"/>
    <w:rsid w:val="006C5134"/>
    <w:rsid w:val="006D58B7"/>
    <w:rsid w:val="006E0005"/>
    <w:rsid w:val="006E2E0E"/>
    <w:rsid w:val="006E5EB7"/>
    <w:rsid w:val="006F2C6D"/>
    <w:rsid w:val="007050C2"/>
    <w:rsid w:val="00733E21"/>
    <w:rsid w:val="00737458"/>
    <w:rsid w:val="00744E03"/>
    <w:rsid w:val="00746591"/>
    <w:rsid w:val="007572B2"/>
    <w:rsid w:val="00757D59"/>
    <w:rsid w:val="007624B1"/>
    <w:rsid w:val="00764C39"/>
    <w:rsid w:val="00765216"/>
    <w:rsid w:val="00765322"/>
    <w:rsid w:val="00772C75"/>
    <w:rsid w:val="007766FC"/>
    <w:rsid w:val="00780333"/>
    <w:rsid w:val="00782F87"/>
    <w:rsid w:val="007852F7"/>
    <w:rsid w:val="00786DF5"/>
    <w:rsid w:val="007A6524"/>
    <w:rsid w:val="007D472B"/>
    <w:rsid w:val="007F0DCC"/>
    <w:rsid w:val="007F47AD"/>
    <w:rsid w:val="008042C9"/>
    <w:rsid w:val="00813C58"/>
    <w:rsid w:val="00813D37"/>
    <w:rsid w:val="00822213"/>
    <w:rsid w:val="00831F79"/>
    <w:rsid w:val="00835A38"/>
    <w:rsid w:val="008401B3"/>
    <w:rsid w:val="00841B66"/>
    <w:rsid w:val="0085688E"/>
    <w:rsid w:val="00861D96"/>
    <w:rsid w:val="00864BB9"/>
    <w:rsid w:val="00867FD6"/>
    <w:rsid w:val="00873CCE"/>
    <w:rsid w:val="00875856"/>
    <w:rsid w:val="008862DB"/>
    <w:rsid w:val="00886998"/>
    <w:rsid w:val="00897409"/>
    <w:rsid w:val="008A0FF8"/>
    <w:rsid w:val="008A24DF"/>
    <w:rsid w:val="008A713B"/>
    <w:rsid w:val="008B46EE"/>
    <w:rsid w:val="008C62EC"/>
    <w:rsid w:val="008D08A5"/>
    <w:rsid w:val="008D68D7"/>
    <w:rsid w:val="008D6D1E"/>
    <w:rsid w:val="008F40A5"/>
    <w:rsid w:val="0090464A"/>
    <w:rsid w:val="00905D69"/>
    <w:rsid w:val="00913196"/>
    <w:rsid w:val="00916EAD"/>
    <w:rsid w:val="0094449E"/>
    <w:rsid w:val="00947228"/>
    <w:rsid w:val="00951D89"/>
    <w:rsid w:val="00954E0A"/>
    <w:rsid w:val="009627DE"/>
    <w:rsid w:val="00964715"/>
    <w:rsid w:val="00970A8A"/>
    <w:rsid w:val="00974D3C"/>
    <w:rsid w:val="00976333"/>
    <w:rsid w:val="00982719"/>
    <w:rsid w:val="00990658"/>
    <w:rsid w:val="009A789A"/>
    <w:rsid w:val="009B14CE"/>
    <w:rsid w:val="009C58B4"/>
    <w:rsid w:val="009C6392"/>
    <w:rsid w:val="009D6188"/>
    <w:rsid w:val="009F7963"/>
    <w:rsid w:val="00A01D86"/>
    <w:rsid w:val="00A04226"/>
    <w:rsid w:val="00A07A71"/>
    <w:rsid w:val="00A26AF1"/>
    <w:rsid w:val="00A30D99"/>
    <w:rsid w:val="00A40993"/>
    <w:rsid w:val="00A40F7B"/>
    <w:rsid w:val="00A44660"/>
    <w:rsid w:val="00A675D0"/>
    <w:rsid w:val="00A741F1"/>
    <w:rsid w:val="00A824B8"/>
    <w:rsid w:val="00A8274A"/>
    <w:rsid w:val="00A86018"/>
    <w:rsid w:val="00AC215F"/>
    <w:rsid w:val="00AC28F5"/>
    <w:rsid w:val="00AC617A"/>
    <w:rsid w:val="00AD057B"/>
    <w:rsid w:val="00AD104F"/>
    <w:rsid w:val="00AD16CA"/>
    <w:rsid w:val="00AD6225"/>
    <w:rsid w:val="00AE2B70"/>
    <w:rsid w:val="00B05EEA"/>
    <w:rsid w:val="00B158EE"/>
    <w:rsid w:val="00B20F70"/>
    <w:rsid w:val="00B216D5"/>
    <w:rsid w:val="00B259C5"/>
    <w:rsid w:val="00B27DDA"/>
    <w:rsid w:val="00B313B9"/>
    <w:rsid w:val="00B3531E"/>
    <w:rsid w:val="00B56534"/>
    <w:rsid w:val="00BA1C24"/>
    <w:rsid w:val="00BB4AF8"/>
    <w:rsid w:val="00BB4B43"/>
    <w:rsid w:val="00BB5056"/>
    <w:rsid w:val="00BB6754"/>
    <w:rsid w:val="00BC2477"/>
    <w:rsid w:val="00BC4FE5"/>
    <w:rsid w:val="00BC6C12"/>
    <w:rsid w:val="00BD39D5"/>
    <w:rsid w:val="00BD567B"/>
    <w:rsid w:val="00BE79A7"/>
    <w:rsid w:val="00BF2B69"/>
    <w:rsid w:val="00BF312C"/>
    <w:rsid w:val="00C04A90"/>
    <w:rsid w:val="00C10E89"/>
    <w:rsid w:val="00C160EC"/>
    <w:rsid w:val="00C36B74"/>
    <w:rsid w:val="00C42CFE"/>
    <w:rsid w:val="00C56211"/>
    <w:rsid w:val="00C65C5C"/>
    <w:rsid w:val="00C779A5"/>
    <w:rsid w:val="00C8448C"/>
    <w:rsid w:val="00CB1F99"/>
    <w:rsid w:val="00CB4B04"/>
    <w:rsid w:val="00CB71CB"/>
    <w:rsid w:val="00CC572E"/>
    <w:rsid w:val="00CD434B"/>
    <w:rsid w:val="00CD6209"/>
    <w:rsid w:val="00CD7345"/>
    <w:rsid w:val="00CE4DF9"/>
    <w:rsid w:val="00CE5C00"/>
    <w:rsid w:val="00CE7A80"/>
    <w:rsid w:val="00CF5188"/>
    <w:rsid w:val="00CF54DF"/>
    <w:rsid w:val="00D00A67"/>
    <w:rsid w:val="00D00D00"/>
    <w:rsid w:val="00D4620F"/>
    <w:rsid w:val="00D5367E"/>
    <w:rsid w:val="00D55033"/>
    <w:rsid w:val="00D55BF3"/>
    <w:rsid w:val="00D60841"/>
    <w:rsid w:val="00D615F1"/>
    <w:rsid w:val="00D710D2"/>
    <w:rsid w:val="00D86C87"/>
    <w:rsid w:val="00D90FF5"/>
    <w:rsid w:val="00D956B6"/>
    <w:rsid w:val="00D96F6A"/>
    <w:rsid w:val="00DA37ED"/>
    <w:rsid w:val="00DA5D6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26E07"/>
    <w:rsid w:val="00E33347"/>
    <w:rsid w:val="00E3381F"/>
    <w:rsid w:val="00E50617"/>
    <w:rsid w:val="00E51955"/>
    <w:rsid w:val="00E51DB3"/>
    <w:rsid w:val="00E52388"/>
    <w:rsid w:val="00E70AE7"/>
    <w:rsid w:val="00E736C4"/>
    <w:rsid w:val="00E76A26"/>
    <w:rsid w:val="00E8086C"/>
    <w:rsid w:val="00E95F0C"/>
    <w:rsid w:val="00EA367F"/>
    <w:rsid w:val="00EB318E"/>
    <w:rsid w:val="00EB42A2"/>
    <w:rsid w:val="00EB432D"/>
    <w:rsid w:val="00EB5344"/>
    <w:rsid w:val="00EC5392"/>
    <w:rsid w:val="00EC5E56"/>
    <w:rsid w:val="00EC6603"/>
    <w:rsid w:val="00EE25FD"/>
    <w:rsid w:val="00EF09CA"/>
    <w:rsid w:val="00EF0DB3"/>
    <w:rsid w:val="00EF736B"/>
    <w:rsid w:val="00F11A35"/>
    <w:rsid w:val="00F12014"/>
    <w:rsid w:val="00F2629E"/>
    <w:rsid w:val="00F31D66"/>
    <w:rsid w:val="00F325D3"/>
    <w:rsid w:val="00F44190"/>
    <w:rsid w:val="00F4545B"/>
    <w:rsid w:val="00F45B5D"/>
    <w:rsid w:val="00F50E88"/>
    <w:rsid w:val="00F556C9"/>
    <w:rsid w:val="00F56473"/>
    <w:rsid w:val="00F7001B"/>
    <w:rsid w:val="00F723C7"/>
    <w:rsid w:val="00F8074B"/>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D4754D"/>
  <w15:docId w15:val="{5D846BB7-3B5F-4AB7-932F-08A78B9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uiPriority w:val="99"/>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uiPriority w:val="99"/>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Kopfzeile">
    <w:name w:val="header"/>
    <w:basedOn w:val="Standard"/>
    <w:link w:val="KopfzeileZchn"/>
    <w:uiPriority w:val="99"/>
    <w:unhideWhenUsed/>
    <w:rsid w:val="00A8274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8274A"/>
    <w:rPr>
      <w:rFonts w:ascii="Trebuchet MS" w:hAnsi="Trebuchet MS" w:cs="Times New Roman"/>
      <w:szCs w:val="20"/>
      <w:lang w:val="de-DE" w:eastAsia="de-DE"/>
    </w:rPr>
  </w:style>
  <w:style w:type="character" w:styleId="BesuchterLink">
    <w:name w:val="FollowedHyperlink"/>
    <w:basedOn w:val="Absatz-Standardschriftart"/>
    <w:uiPriority w:val="99"/>
    <w:semiHidden/>
    <w:unhideWhenUsed/>
    <w:rsid w:val="00C562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53145">
      <w:bodyDiv w:val="1"/>
      <w:marLeft w:val="0"/>
      <w:marRight w:val="0"/>
      <w:marTop w:val="0"/>
      <w:marBottom w:val="0"/>
      <w:divBdr>
        <w:top w:val="none" w:sz="0" w:space="0" w:color="auto"/>
        <w:left w:val="none" w:sz="0" w:space="0" w:color="auto"/>
        <w:bottom w:val="none" w:sz="0" w:space="0" w:color="auto"/>
        <w:right w:val="none" w:sz="0" w:space="0" w:color="auto"/>
      </w:divBdr>
    </w:div>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ko.at/service/wirtschaftsrecht-gewerberecht/EU-Datenschutz-Grundverordnung:-Internationaler-Datenverk.html" TargetMode="External"/><Relationship Id="rId1" Type="http://schemas.openxmlformats.org/officeDocument/2006/relationships/hyperlink" Target="https://www.wko.at/service/wirtschaftsrecht-gewerberecht/EU-Datenschutz-Grundverordnung:-Der-Datenschutzbeauftragt.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ED8F1-A479-4EA0-9DD0-EABFA79D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Hirmann Margit, WKÖ Rp</dc:creator>
  <cp:lastModifiedBy>Brand Denise, WKÖ IC3</cp:lastModifiedBy>
  <cp:revision>7</cp:revision>
  <cp:lastPrinted>2018-03-01T12:49:00Z</cp:lastPrinted>
  <dcterms:created xsi:type="dcterms:W3CDTF">2018-04-11T12:48:00Z</dcterms:created>
  <dcterms:modified xsi:type="dcterms:W3CDTF">2018-04-11T13:10:00Z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