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A31F" w14:textId="49A39393" w:rsidR="00DD7D20" w:rsidRPr="00182C18" w:rsidRDefault="009627DE" w:rsidP="00145A46">
      <w:pPr>
        <w:shd w:val="clear" w:color="auto" w:fill="FFFFFF"/>
        <w:spacing w:line="240" w:lineRule="auto"/>
        <w:outlineLvl w:val="1"/>
        <w:rPr>
          <w:b/>
          <w:smallCaps/>
          <w:kern w:val="36"/>
          <w:sz w:val="28"/>
          <w:szCs w:val="28"/>
          <w:lang w:val="de-AT" w:eastAsia="de-AT"/>
        </w:rPr>
      </w:pPr>
      <w:r w:rsidRPr="00182C18">
        <w:rPr>
          <w:noProof/>
          <w:sz w:val="28"/>
          <w:szCs w:val="28"/>
          <w:lang w:val="de-AT" w:eastAsia="de-AT"/>
        </w:rPr>
        <w:drawing>
          <wp:anchor distT="0" distB="0" distL="114300" distR="114300" simplePos="0" relativeHeight="251659264" behindDoc="1" locked="0" layoutInCell="1" allowOverlap="1" wp14:anchorId="50C58057" wp14:editId="02939BB3">
            <wp:simplePos x="0" y="0"/>
            <wp:positionH relativeFrom="page">
              <wp:align>right</wp:align>
            </wp:positionH>
            <wp:positionV relativeFrom="paragraph">
              <wp:posOffset>-1260475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sidRPr="00182C18">
        <w:rPr>
          <w:b/>
          <w:smallCaps/>
          <w:kern w:val="36"/>
          <w:sz w:val="28"/>
          <w:szCs w:val="28"/>
          <w:lang w:val="de-AT" w:eastAsia="de-AT"/>
        </w:rPr>
        <w:t>EU-</w:t>
      </w:r>
      <w:r w:rsidR="00145A46" w:rsidRPr="00182C18">
        <w:rPr>
          <w:b/>
          <w:smallCaps/>
          <w:kern w:val="36"/>
          <w:sz w:val="28"/>
          <w:szCs w:val="28"/>
          <w:lang w:val="de-AT" w:eastAsia="de-AT"/>
        </w:rPr>
        <w:t>Datenschutz-Grundverordnung (DSGVO): Mustervertrag (englisch)</w:t>
      </w:r>
    </w:p>
    <w:p w14:paraId="1443C877" w14:textId="34550B8E" w:rsidR="00145A46" w:rsidRPr="00CF1DEF" w:rsidRDefault="00145A46" w:rsidP="00145A46">
      <w:pPr>
        <w:shd w:val="clear" w:color="auto" w:fill="FFFFFF"/>
        <w:spacing w:after="120" w:line="240" w:lineRule="auto"/>
        <w:outlineLvl w:val="1"/>
        <w:rPr>
          <w:b/>
          <w:smallCaps/>
          <w:kern w:val="36"/>
          <w:sz w:val="28"/>
          <w:szCs w:val="28"/>
          <w:lang w:val="en-US" w:eastAsia="de-AT"/>
        </w:rPr>
      </w:pPr>
      <w:r w:rsidRPr="00CF1DEF">
        <w:rPr>
          <w:b/>
          <w:smallCaps/>
          <w:kern w:val="36"/>
          <w:sz w:val="28"/>
          <w:szCs w:val="28"/>
          <w:lang w:val="en-US" w:eastAsia="de-AT"/>
        </w:rPr>
        <w:t>Agreement concerning data processing by a processor</w:t>
      </w:r>
    </w:p>
    <w:p w14:paraId="5462A770" w14:textId="799AB550" w:rsidR="00145A46" w:rsidRPr="00CF1DEF" w:rsidRDefault="00145A46" w:rsidP="00145A46">
      <w:pPr>
        <w:shd w:val="clear" w:color="auto" w:fill="FFFFFF"/>
        <w:spacing w:line="240" w:lineRule="auto"/>
        <w:outlineLvl w:val="1"/>
        <w:rPr>
          <w:bCs/>
          <w:smallCaps/>
          <w:kern w:val="36"/>
          <w:sz w:val="28"/>
          <w:szCs w:val="28"/>
          <w:lang w:val="en-US" w:eastAsia="de-AT"/>
        </w:rPr>
      </w:pPr>
      <w:r w:rsidRPr="00CF1DEF">
        <w:rPr>
          <w:bCs/>
          <w:smallCaps/>
          <w:kern w:val="36"/>
          <w:sz w:val="28"/>
          <w:szCs w:val="28"/>
          <w:lang w:val="en-US" w:eastAsia="de-AT"/>
        </w:rPr>
        <w:t xml:space="preserve">Muster </w:t>
      </w:r>
      <w:proofErr w:type="spellStart"/>
      <w:r w:rsidRPr="00CF1DEF">
        <w:rPr>
          <w:bCs/>
          <w:smallCaps/>
          <w:kern w:val="36"/>
          <w:sz w:val="28"/>
          <w:szCs w:val="28"/>
          <w:lang w:val="en-US" w:eastAsia="de-AT"/>
        </w:rPr>
        <w:t>zum</w:t>
      </w:r>
      <w:proofErr w:type="spellEnd"/>
      <w:r w:rsidRPr="00CF1DEF">
        <w:rPr>
          <w:bCs/>
          <w:smallCaps/>
          <w:kern w:val="36"/>
          <w:sz w:val="28"/>
          <w:szCs w:val="28"/>
          <w:lang w:val="en-US" w:eastAsia="de-AT"/>
        </w:rPr>
        <w:t xml:space="preserve"> Download</w:t>
      </w:r>
    </w:p>
    <w:p w14:paraId="47040092" w14:textId="43689093" w:rsidR="00DD7D20" w:rsidRPr="00CF1DEF" w:rsidRDefault="00DD7D20" w:rsidP="00145A46">
      <w:pPr>
        <w:shd w:val="clear" w:color="auto" w:fill="FFFFFF"/>
        <w:spacing w:line="240" w:lineRule="auto"/>
        <w:jc w:val="both"/>
        <w:rPr>
          <w:color w:val="272D2E"/>
          <w:szCs w:val="22"/>
          <w:lang w:val="en-US" w:eastAsia="de-AT"/>
        </w:rPr>
      </w:pPr>
    </w:p>
    <w:p w14:paraId="1D7F3896" w14:textId="34AA9C86" w:rsidR="00AE4B59" w:rsidRPr="00CF1DEF" w:rsidRDefault="00AE4B59" w:rsidP="00145A46">
      <w:pPr>
        <w:shd w:val="clear" w:color="auto" w:fill="FFFFFF"/>
        <w:spacing w:line="240" w:lineRule="auto"/>
        <w:jc w:val="both"/>
        <w:rPr>
          <w:color w:val="272D2E"/>
          <w:szCs w:val="22"/>
          <w:lang w:val="en-US" w:eastAsia="de-AT"/>
        </w:rPr>
      </w:pPr>
    </w:p>
    <w:p w14:paraId="104385D7" w14:textId="097255B0" w:rsidR="00AE4B59" w:rsidRPr="00CF1DEF" w:rsidRDefault="00AE4B59" w:rsidP="00145A46">
      <w:pPr>
        <w:shd w:val="clear" w:color="auto" w:fill="FFFFFF"/>
        <w:spacing w:line="240" w:lineRule="auto"/>
        <w:jc w:val="both"/>
        <w:rPr>
          <w:color w:val="272D2E"/>
          <w:szCs w:val="22"/>
          <w:lang w:val="en-US" w:eastAsia="de-AT"/>
        </w:rPr>
      </w:pPr>
    </w:p>
    <w:p w14:paraId="024DE67B" w14:textId="77777777" w:rsidR="00AE4B59" w:rsidRPr="00CF1DEF" w:rsidRDefault="00AE4B59" w:rsidP="000B229A">
      <w:pPr>
        <w:shd w:val="clear" w:color="auto" w:fill="FFFFFF"/>
        <w:spacing w:line="240" w:lineRule="auto"/>
        <w:jc w:val="both"/>
        <w:rPr>
          <w:color w:val="272D2E"/>
          <w:szCs w:val="22"/>
          <w:lang w:val="en-US" w:eastAsia="de-AT"/>
        </w:rPr>
      </w:pPr>
    </w:p>
    <w:p w14:paraId="7F96BE06" w14:textId="77777777" w:rsidR="004E1D88" w:rsidRPr="005563AC" w:rsidRDefault="004E1D88" w:rsidP="005563AC">
      <w:pPr>
        <w:pStyle w:val="Titel"/>
        <w:spacing w:after="0"/>
        <w:rPr>
          <w:spacing w:val="40"/>
          <w:sz w:val="28"/>
          <w:szCs w:val="28"/>
          <w:lang w:val="en-GB"/>
        </w:rPr>
      </w:pPr>
      <w:r w:rsidRPr="005563AC">
        <w:rPr>
          <w:spacing w:val="40"/>
          <w:sz w:val="28"/>
          <w:szCs w:val="28"/>
          <w:lang w:val="en-GB"/>
        </w:rPr>
        <w:t>Agreement</w:t>
      </w:r>
    </w:p>
    <w:p w14:paraId="5504D5FA" w14:textId="77777777" w:rsidR="004E1D88" w:rsidRPr="005563AC" w:rsidRDefault="004E1D88" w:rsidP="005563AC">
      <w:pPr>
        <w:pStyle w:val="Titel"/>
        <w:spacing w:after="0"/>
        <w:rPr>
          <w:sz w:val="22"/>
          <w:szCs w:val="22"/>
          <w:lang w:val="en-GB"/>
        </w:rPr>
      </w:pPr>
      <w:r w:rsidRPr="005563AC">
        <w:rPr>
          <w:sz w:val="22"/>
          <w:szCs w:val="22"/>
          <w:lang w:val="en-GB"/>
        </w:rPr>
        <w:t>concerning</w:t>
      </w:r>
    </w:p>
    <w:p w14:paraId="3591C3F1" w14:textId="22B847B6" w:rsidR="004E1D88" w:rsidRPr="005563AC" w:rsidRDefault="004E1D88" w:rsidP="005563AC">
      <w:pPr>
        <w:pStyle w:val="Titel"/>
        <w:spacing w:after="0"/>
        <w:rPr>
          <w:sz w:val="28"/>
          <w:szCs w:val="28"/>
          <w:lang w:val="en-GB"/>
        </w:rPr>
      </w:pPr>
      <w:r w:rsidRPr="005563AC">
        <w:rPr>
          <w:sz w:val="28"/>
          <w:szCs w:val="28"/>
          <w:lang w:val="en-GB"/>
        </w:rPr>
        <w:t xml:space="preserve">data processing by a processor in accordance </w:t>
      </w:r>
      <w:r w:rsidRPr="005563AC">
        <w:rPr>
          <w:sz w:val="28"/>
          <w:szCs w:val="28"/>
          <w:lang w:val="en-GB"/>
        </w:rPr>
        <w:br/>
        <w:t>with Art 28 GDPR</w:t>
      </w:r>
    </w:p>
    <w:p w14:paraId="6A96BCE3" w14:textId="6D4396B3" w:rsidR="004E1D88" w:rsidRPr="0006089B" w:rsidRDefault="004E1D88" w:rsidP="004E1D88">
      <w:pPr>
        <w:keepNext/>
        <w:spacing w:line="240" w:lineRule="auto"/>
        <w:ind w:left="397" w:hanging="397"/>
        <w:outlineLvl w:val="1"/>
        <w:rPr>
          <w:b/>
          <w:caps/>
          <w:szCs w:val="22"/>
          <w:lang w:val="en-US"/>
        </w:rPr>
      </w:pPr>
    </w:p>
    <w:p w14:paraId="33D92D61" w14:textId="77777777" w:rsidR="004E1D88" w:rsidRPr="0006089B" w:rsidRDefault="004E1D88" w:rsidP="004E1D88">
      <w:pPr>
        <w:rPr>
          <w:lang w:val="en-US"/>
        </w:rPr>
      </w:pPr>
    </w:p>
    <w:p w14:paraId="5051DD18" w14:textId="4425436A" w:rsidR="00091B54" w:rsidRDefault="00091B54" w:rsidP="00091B54">
      <w:pPr>
        <w:jc w:val="both"/>
        <w:rPr>
          <w:szCs w:val="22"/>
        </w:rPr>
      </w:pPr>
      <w:r w:rsidRPr="00CA0B6F">
        <w:rPr>
          <w:szCs w:val="22"/>
        </w:rPr>
        <w:t xml:space="preserve">Die </w:t>
      </w:r>
      <w:r>
        <w:rPr>
          <w:szCs w:val="22"/>
        </w:rPr>
        <w:t>Experten der Wirtschaftskammern Österreichs haben für ihre Mitgliedsbetriebe nachstehendes Muster einer Vereinbarung über eine Auftragsverarbeitung nach Art</w:t>
      </w:r>
      <w:r w:rsidR="00AE4B59">
        <w:rPr>
          <w:szCs w:val="22"/>
        </w:rPr>
        <w:t> </w:t>
      </w:r>
      <w:r>
        <w:rPr>
          <w:szCs w:val="22"/>
        </w:rPr>
        <w:t>28</w:t>
      </w:r>
      <w:r w:rsidR="00AE4B59">
        <w:rPr>
          <w:szCs w:val="22"/>
        </w:rPr>
        <w:t> </w:t>
      </w:r>
      <w:r>
        <w:rPr>
          <w:szCs w:val="22"/>
        </w:rPr>
        <w:t>DSGVO erstellt.</w:t>
      </w:r>
    </w:p>
    <w:p w14:paraId="6F9BCF09" w14:textId="77777777" w:rsidR="00091B54" w:rsidRDefault="00091B54" w:rsidP="00091B54">
      <w:pPr>
        <w:jc w:val="both"/>
        <w:rPr>
          <w:szCs w:val="22"/>
        </w:rPr>
      </w:pPr>
    </w:p>
    <w:p w14:paraId="122F90F9" w14:textId="77777777" w:rsidR="002B35A2" w:rsidRDefault="002B35A2" w:rsidP="002B35A2">
      <w:pPr>
        <w:jc w:val="both"/>
        <w:rPr>
          <w:b/>
          <w:sz w:val="28"/>
          <w:szCs w:val="28"/>
        </w:rPr>
      </w:pPr>
      <w:r>
        <w:rPr>
          <w:szCs w:val="22"/>
        </w:rPr>
        <w:t>Das hinterlegte Wasserzeichen „Muster“ kann einfach aus dem Word-Dokument entfernt werden.</w:t>
      </w:r>
    </w:p>
    <w:p w14:paraId="45D962C5" w14:textId="77777777" w:rsidR="002B35A2" w:rsidRDefault="002B35A2" w:rsidP="002B35A2">
      <w:pPr>
        <w:jc w:val="both"/>
        <w:rPr>
          <w:lang w:val="de-AT"/>
        </w:rPr>
      </w:pPr>
    </w:p>
    <w:p w14:paraId="3FAEEFE4" w14:textId="77013A63" w:rsidR="002B35A2" w:rsidRPr="000D7E23" w:rsidRDefault="002B35A2" w:rsidP="002B35A2">
      <w:pPr>
        <w:jc w:val="both"/>
        <w:rPr>
          <w:lang w:val="de-AT"/>
        </w:rPr>
      </w:pPr>
      <w:r w:rsidRPr="000D7E23">
        <w:rPr>
          <w:lang w:val="de-AT"/>
        </w:rPr>
        <w:t xml:space="preserve">Dieser Mustervertrag ist auf eine </w:t>
      </w:r>
      <w:r w:rsidRPr="008721A4">
        <w:rPr>
          <w:b/>
          <w:lang w:val="de-AT"/>
        </w:rPr>
        <w:t xml:space="preserve">Auftragsverarbeitung in Österreich </w:t>
      </w:r>
      <w:r>
        <w:rPr>
          <w:b/>
          <w:lang w:val="de-AT"/>
        </w:rPr>
        <w:t>z</w:t>
      </w:r>
      <w:r w:rsidRPr="008721A4">
        <w:rPr>
          <w:b/>
          <w:lang w:val="de-AT"/>
        </w:rPr>
        <w:t>ugeschnitten</w:t>
      </w:r>
      <w:r w:rsidRPr="000D7E23">
        <w:rPr>
          <w:b/>
          <w:lang w:val="de-AT"/>
        </w:rPr>
        <w:t>.</w:t>
      </w:r>
      <w:r w:rsidRPr="000D7E23">
        <w:rPr>
          <w:lang w:val="de-AT"/>
        </w:rPr>
        <w:t xml:space="preserve"> Für die </w:t>
      </w:r>
      <w:r w:rsidRPr="008721A4">
        <w:rPr>
          <w:lang w:val="de-AT"/>
        </w:rPr>
        <w:t xml:space="preserve">Auftragsverarbeitung innerhalb der EU, des EWR oder in </w:t>
      </w:r>
      <w:hyperlink r:id="rId12" w:history="1">
        <w:r w:rsidRPr="00C231E6">
          <w:rPr>
            <w:rStyle w:val="Hyperlink"/>
            <w:lang w:val="de-AT"/>
          </w:rPr>
          <w:t>Staaten mit angemessenem Datenschutzniveau</w:t>
        </w:r>
      </w:hyperlink>
      <w:r w:rsidRPr="008721A4">
        <w:rPr>
          <w:lang w:val="de-AT"/>
        </w:rPr>
        <w:t xml:space="preserve"> werden die </w:t>
      </w:r>
      <w:hyperlink r:id="rId13" w:history="1">
        <w:r w:rsidRPr="00145A46">
          <w:rPr>
            <w:rStyle w:val="Hyperlink"/>
            <w:lang w:val="de-AT"/>
          </w:rPr>
          <w:t>Standardvertragsklauseln</w:t>
        </w:r>
        <w:r w:rsidR="00E544E4">
          <w:rPr>
            <w:rStyle w:val="Hyperlink"/>
            <w:lang w:val="de-AT"/>
          </w:rPr>
          <w:t xml:space="preserve"> der EU-Kommission</w:t>
        </w:r>
        <w:r w:rsidRPr="00C231E6">
          <w:rPr>
            <w:rStyle w:val="Hyperlink"/>
            <w:lang w:val="de-AT"/>
          </w:rPr>
          <w:t xml:space="preserve"> (Durchführungsbeschluss 2021/915)</w:t>
        </w:r>
      </w:hyperlink>
      <w:r>
        <w:rPr>
          <w:rStyle w:val="Funotenzeichen"/>
          <w:lang w:val="de-AT"/>
        </w:rPr>
        <w:footnoteReference w:id="1"/>
      </w:r>
      <w:r w:rsidRPr="008721A4">
        <w:rPr>
          <w:lang w:val="de-AT"/>
        </w:rPr>
        <w:t xml:space="preserve"> empfohlen. Bei Verarbeitungen in Drittstaaten ist die Verwendung der </w:t>
      </w:r>
      <w:hyperlink r:id="rId14" w:history="1">
        <w:r w:rsidRPr="00F0218C">
          <w:rPr>
            <w:rStyle w:val="Hyperlink"/>
            <w:lang w:val="de-AT"/>
          </w:rPr>
          <w:t>Standarddatenschutzklauseln (Durchführungsbeschluss 2021/914)</w:t>
        </w:r>
      </w:hyperlink>
      <w:r w:rsidRPr="00182C18">
        <w:rPr>
          <w:vertAlign w:val="superscript"/>
          <w:lang w:val="de-AT"/>
        </w:rPr>
        <w:t>1</w:t>
      </w:r>
      <w:r w:rsidRPr="00182C18">
        <w:rPr>
          <w:lang w:val="de-AT"/>
        </w:rPr>
        <w:t xml:space="preserve"> </w:t>
      </w:r>
      <w:r w:rsidRPr="008721A4">
        <w:rPr>
          <w:lang w:val="de-AT"/>
        </w:rPr>
        <w:t>zwingend, anderenfalls Genehmigungspflichten entstehen können.</w:t>
      </w:r>
    </w:p>
    <w:p w14:paraId="3535CCE1" w14:textId="77777777" w:rsidR="002B35A2" w:rsidRPr="000D7E23" w:rsidRDefault="002B35A2" w:rsidP="002B35A2">
      <w:pPr>
        <w:jc w:val="both"/>
        <w:rPr>
          <w:lang w:val="de-AT"/>
        </w:rPr>
      </w:pPr>
      <w:r w:rsidRPr="000D7E23">
        <w:rPr>
          <w:lang w:val="de-AT"/>
        </w:rPr>
        <w:t>Weitere Informationen zum internationalen Datenverkehr finden Sie hier:</w:t>
      </w:r>
    </w:p>
    <w:p w14:paraId="6C019F6A" w14:textId="260E54B4" w:rsidR="002B35A2" w:rsidRPr="000D7E23" w:rsidRDefault="002B35A2" w:rsidP="002B35A2">
      <w:pPr>
        <w:jc w:val="both"/>
        <w:rPr>
          <w:lang w:val="de-AT"/>
        </w:rPr>
      </w:pPr>
      <w:hyperlink r:id="rId15" w:history="1">
        <w:r w:rsidRPr="00182C18">
          <w:rPr>
            <w:rStyle w:val="Hyperlink"/>
            <w:lang w:val="de-AT"/>
          </w:rPr>
          <w:t>Internationaler Datenverkehr</w:t>
        </w:r>
      </w:hyperlink>
      <w:r w:rsidRPr="000D7E23">
        <w:rPr>
          <w:lang w:val="de-AT"/>
        </w:rPr>
        <w:t>.</w:t>
      </w:r>
    </w:p>
    <w:p w14:paraId="154D90E2" w14:textId="77777777" w:rsidR="002B35A2" w:rsidRPr="000D7E23" w:rsidRDefault="002B35A2" w:rsidP="002B35A2">
      <w:pPr>
        <w:jc w:val="both"/>
        <w:rPr>
          <w:lang w:val="de-AT"/>
        </w:rPr>
      </w:pPr>
    </w:p>
    <w:p w14:paraId="6090F9AD" w14:textId="543435E5" w:rsidR="002B35A2" w:rsidRPr="008721A4" w:rsidRDefault="002B35A2" w:rsidP="002B35A2">
      <w:pPr>
        <w:jc w:val="both"/>
        <w:rPr>
          <w:lang w:val="de-AT"/>
        </w:rPr>
      </w:pPr>
      <w:r w:rsidRPr="008721A4">
        <w:rPr>
          <w:b/>
          <w:lang w:val="de-AT"/>
        </w:rPr>
        <w:t>Zum Verhältnis der Standardvertragsklauseln laut Durchführungsbeschluss 2021/915 zu diesem Muster („traditionell österreichischer Mustervertrag“) für die Auftragsverarbeitung nach Art 28 DSGVO</w:t>
      </w:r>
      <w:r w:rsidRPr="008721A4">
        <w:rPr>
          <w:lang w:val="de-AT"/>
        </w:rPr>
        <w:t xml:space="preserve">: </w:t>
      </w:r>
      <w:bookmarkStart w:id="0" w:name="_Hlk77608305"/>
      <w:r w:rsidRPr="008721A4">
        <w:rPr>
          <w:lang w:val="de-AT"/>
        </w:rPr>
        <w:t xml:space="preserve">Abgesehen von einer unterschiedlichen Gliederung, fehlen im traditionell österreichischen Mustervertrag klassische Vertragsklauseln, wie sie sich in den Klauseln 1 bis 4 </w:t>
      </w:r>
      <w:r w:rsidRPr="00182C18">
        <w:rPr>
          <w:lang w:val="de-AT"/>
        </w:rPr>
        <w:t>der Standardvertragsklauseln der EU finden, die gesonderte Erwähnung sensibler Daten (Klausel 7.5.), die Dokumentationspflichten (Klausel 7.6.) sowie die Drittbegünstigungsklausel (Klausel 7.7.</w:t>
      </w:r>
      <w:r w:rsidR="00182C18" w:rsidRPr="00182C18">
        <w:rPr>
          <w:lang w:val="de-AT"/>
        </w:rPr>
        <w:t> </w:t>
      </w:r>
      <w:proofErr w:type="spellStart"/>
      <w:r w:rsidRPr="00182C18">
        <w:t>lit</w:t>
      </w:r>
      <w:proofErr w:type="spellEnd"/>
      <w:r w:rsidR="00182C18" w:rsidRPr="00182C18">
        <w:t> </w:t>
      </w:r>
      <w:r w:rsidRPr="00182C18">
        <w:t>e</w:t>
      </w:r>
      <w:r w:rsidRPr="00182C18">
        <w:rPr>
          <w:lang w:val="de-AT"/>
        </w:rPr>
        <w:t>), da diese nicht als essenziell gesehen werden. Die Standardvertragsklauseln der EU führen ferner die Mitwirkungspflichten des Auftragsverarbeiters näher aus (</w:t>
      </w:r>
      <w:proofErr w:type="spellStart"/>
      <w:r w:rsidRPr="00182C18">
        <w:rPr>
          <w:lang w:val="de-AT"/>
        </w:rPr>
        <w:t>vgl</w:t>
      </w:r>
      <w:proofErr w:type="spellEnd"/>
      <w:r w:rsidRPr="00182C18">
        <w:rPr>
          <w:lang w:val="de-AT"/>
        </w:rPr>
        <w:t xml:space="preserve"> Klauseln 8 und 9). Im Gegenzug berücksichtigt der traditionell österreichische Mustervertrag </w:t>
      </w:r>
      <w:r w:rsidRPr="008721A4">
        <w:rPr>
          <w:lang w:val="de-AT"/>
        </w:rPr>
        <w:t>rechtliche Besonderheiten wie das Format der Daten bei Rückgabe infolge Beendigung der Auftragsverarbeitervereinbarung (siehe Punkt</w:t>
      </w:r>
      <w:r>
        <w:rPr>
          <w:lang w:val="de-AT"/>
        </w:rPr>
        <w:t> </w:t>
      </w:r>
      <w:r w:rsidRPr="008721A4">
        <w:rPr>
          <w:lang w:val="de-AT"/>
        </w:rPr>
        <w:t>3.8.).</w:t>
      </w:r>
      <w:bookmarkEnd w:id="0"/>
    </w:p>
    <w:p w14:paraId="30AB29D1" w14:textId="77777777" w:rsidR="00182C18" w:rsidRDefault="00182C18" w:rsidP="002B35A2">
      <w:pPr>
        <w:jc w:val="both"/>
        <w:rPr>
          <w:b/>
          <w:lang w:val="de-AT"/>
        </w:rPr>
      </w:pPr>
    </w:p>
    <w:p w14:paraId="5B3835E0" w14:textId="15DFC82D" w:rsidR="002B35A2" w:rsidRDefault="002B35A2" w:rsidP="002B35A2">
      <w:pPr>
        <w:jc w:val="both"/>
        <w:rPr>
          <w:lang w:val="de-AT"/>
        </w:rPr>
      </w:pPr>
      <w:r w:rsidRPr="008721A4">
        <w:rPr>
          <w:b/>
          <w:lang w:val="de-AT"/>
        </w:rPr>
        <w:t xml:space="preserve">Zum Verhältnis zu den Standarddatenschutzklauseln laut Durchführungsbeschluss 2021/914: </w:t>
      </w:r>
      <w:r w:rsidRPr="008721A4">
        <w:rPr>
          <w:lang w:val="de-AT"/>
        </w:rPr>
        <w:t xml:space="preserve">Diese decken alle Arten von Datentransfers in Drittländer (Staaten ohne angemessenes Datenschutzniveau) ab, nicht nur Datentransfers zwischen </w:t>
      </w:r>
      <w:r w:rsidRPr="008721A4">
        <w:rPr>
          <w:lang w:val="de-AT"/>
        </w:rPr>
        <w:lastRenderedPageBreak/>
        <w:t>Verantwortlichem und Auftraggeber (siehe dazu auch Klausel 2</w:t>
      </w:r>
      <w:r w:rsidR="008B7BD0">
        <w:rPr>
          <w:lang w:val="de-AT"/>
        </w:rPr>
        <w:t> </w:t>
      </w:r>
      <w:proofErr w:type="spellStart"/>
      <w:r w:rsidRPr="008721A4">
        <w:rPr>
          <w:lang w:val="de-AT"/>
        </w:rPr>
        <w:t>lit</w:t>
      </w:r>
      <w:proofErr w:type="spellEnd"/>
      <w:r w:rsidR="008B7BD0">
        <w:rPr>
          <w:lang w:val="de-AT"/>
        </w:rPr>
        <w:t> </w:t>
      </w:r>
      <w:r w:rsidRPr="008721A4">
        <w:rPr>
          <w:lang w:val="de-AT"/>
        </w:rPr>
        <w:t xml:space="preserve">a </w:t>
      </w:r>
      <w:hyperlink r:id="rId16" w:history="1">
        <w:r w:rsidRPr="000B5621">
          <w:rPr>
            <w:rStyle w:val="Hyperlink"/>
            <w:lang w:val="de-AT"/>
          </w:rPr>
          <w:t>Durchführungsbeschluss 2021/914</w:t>
        </w:r>
      </w:hyperlink>
      <w:r w:rsidRPr="008721A4">
        <w:rPr>
          <w:lang w:val="de-AT"/>
        </w:rPr>
        <w:t>).</w:t>
      </w:r>
    </w:p>
    <w:p w14:paraId="1677AEFD" w14:textId="2FF21319" w:rsidR="002B35A2" w:rsidRPr="008721A4" w:rsidRDefault="002B35A2" w:rsidP="002B35A2">
      <w:pPr>
        <w:jc w:val="both"/>
        <w:rPr>
          <w:lang w:val="de-AT"/>
        </w:rPr>
      </w:pPr>
      <w:r w:rsidRPr="008721A4">
        <w:rPr>
          <w:lang w:val="de-AT"/>
        </w:rPr>
        <w:t>Siehe dazu</w:t>
      </w:r>
      <w:r>
        <w:rPr>
          <w:lang w:val="de-AT"/>
        </w:rPr>
        <w:t>:</w:t>
      </w:r>
      <w:r w:rsidRPr="008721A4">
        <w:rPr>
          <w:lang w:val="de-AT"/>
        </w:rPr>
        <w:t xml:space="preserve"> </w:t>
      </w:r>
      <w:hyperlink r:id="rId17" w:history="1">
        <w:r w:rsidRPr="008B7BD0">
          <w:rPr>
            <w:rStyle w:val="Hyperlink"/>
            <w:lang w:val="de-AT"/>
          </w:rPr>
          <w:t>Internationaler Datenverkehr</w:t>
        </w:r>
      </w:hyperlink>
    </w:p>
    <w:p w14:paraId="0880E6DF" w14:textId="77777777" w:rsidR="002B35A2" w:rsidRDefault="002B35A2" w:rsidP="002B35A2">
      <w:pPr>
        <w:jc w:val="both"/>
        <w:rPr>
          <w:lang w:val="de-AT"/>
        </w:rPr>
      </w:pPr>
    </w:p>
    <w:p w14:paraId="5425AD03" w14:textId="77777777" w:rsidR="002B35A2" w:rsidRPr="00C15C6E" w:rsidRDefault="002B35A2" w:rsidP="002B35A2">
      <w:pPr>
        <w:jc w:val="both"/>
        <w:rPr>
          <w:lang w:val="de-AT"/>
        </w:rPr>
      </w:pPr>
      <w:r w:rsidRPr="008721A4">
        <w:rPr>
          <w:lang w:val="de-AT"/>
        </w:rPr>
        <w:t xml:space="preserve">Dieser Mustervertrag wurde mit größter Sorgfalt erstellt und kann laufend </w:t>
      </w:r>
      <w:r w:rsidRPr="00C15C6E">
        <w:rPr>
          <w:lang w:val="de-AT"/>
        </w:rPr>
        <w:t>aktualisiert</w:t>
      </w:r>
      <w:r>
        <w:rPr>
          <w:lang w:val="de-AT"/>
        </w:rPr>
        <w:t xml:space="preserve"> werden</w:t>
      </w:r>
      <w:r w:rsidRPr="00C15C6E">
        <w:rPr>
          <w:lang w:val="de-AT"/>
        </w:rPr>
        <w:t xml:space="preserve">. Für die Richtigkeit, Vollständigkeit, Aktualität oder Qualität </w:t>
      </w:r>
      <w:r>
        <w:rPr>
          <w:lang w:val="de-AT"/>
        </w:rPr>
        <w:t>des</w:t>
      </w:r>
      <w:r w:rsidRPr="00C15C6E">
        <w:rPr>
          <w:lang w:val="de-AT"/>
        </w:rPr>
        <w:t xml:space="preserve"> bereitgestellten Muster</w:t>
      </w:r>
      <w:r>
        <w:rPr>
          <w:lang w:val="de-AT"/>
        </w:rPr>
        <w:t>s</w:t>
      </w:r>
      <w:r w:rsidRPr="00C15C6E">
        <w:rPr>
          <w:lang w:val="de-AT"/>
        </w:rPr>
        <w:t xml:space="preserve"> sowie auch für weiterführende Links können wir jedoch keine Gewähr übernehmen. Haftungsansprüche gegen Personen, </w:t>
      </w:r>
      <w:r>
        <w:rPr>
          <w:lang w:val="de-AT"/>
        </w:rPr>
        <w:t>welche dieses Muster</w:t>
      </w:r>
      <w:r w:rsidRPr="00C15C6E">
        <w:rPr>
          <w:lang w:val="de-AT"/>
        </w:rPr>
        <w:t xml:space="preserve"> bereitgestellt haben, sind daher ausgeschlossen.</w:t>
      </w:r>
    </w:p>
    <w:p w14:paraId="446B282D" w14:textId="77777777" w:rsidR="002B35A2" w:rsidRPr="00C15C6E" w:rsidRDefault="002B35A2" w:rsidP="002B35A2">
      <w:pPr>
        <w:jc w:val="both"/>
        <w:rPr>
          <w:lang w:val="de-AT"/>
        </w:rPr>
      </w:pPr>
    </w:p>
    <w:p w14:paraId="5DF12940" w14:textId="77777777" w:rsidR="002B35A2" w:rsidRPr="0082518E" w:rsidRDefault="002B35A2" w:rsidP="002B35A2">
      <w:pPr>
        <w:jc w:val="both"/>
        <w:rPr>
          <w:lang w:val="de-AT"/>
        </w:rPr>
      </w:pPr>
      <w:r w:rsidRPr="00C15C6E">
        <w:rPr>
          <w:lang w:val="de-AT"/>
        </w:rPr>
        <w:t xml:space="preserve">Wir behalten uns ausdrücklich vor, </w:t>
      </w:r>
      <w:r>
        <w:rPr>
          <w:lang w:val="de-AT"/>
        </w:rPr>
        <w:t>das Muster</w:t>
      </w:r>
      <w:r w:rsidRPr="00C15C6E">
        <w:rPr>
          <w:lang w:val="de-AT"/>
        </w:rPr>
        <w:t xml:space="preserve"> ohne gesonderte Ankündigung zu verändern, zu ergänzen, zu löschen oder die Veröffentlichung zeitweise oder endgültig einzustellen und übernehmen daher keine Gewähr und Haftung für die dauerhafte Verfügbarkeit der </w:t>
      </w:r>
      <w:r>
        <w:rPr>
          <w:lang w:val="de-AT"/>
        </w:rPr>
        <w:t>des</w:t>
      </w:r>
      <w:r w:rsidRPr="00C15C6E">
        <w:rPr>
          <w:lang w:val="de-AT"/>
        </w:rPr>
        <w:t xml:space="preserve"> Muster</w:t>
      </w:r>
      <w:r>
        <w:rPr>
          <w:lang w:val="de-AT"/>
        </w:rPr>
        <w:t>s</w:t>
      </w:r>
      <w:r w:rsidRPr="00C15C6E">
        <w:rPr>
          <w:lang w:val="de-AT"/>
        </w:rPr>
        <w:t>.</w:t>
      </w:r>
    </w:p>
    <w:p w14:paraId="282F58AC" w14:textId="77777777" w:rsidR="00C65DF8" w:rsidRDefault="00C65DF8" w:rsidP="000B229A">
      <w:pPr>
        <w:shd w:val="clear" w:color="auto" w:fill="FFFFFF"/>
        <w:spacing w:line="240" w:lineRule="auto"/>
        <w:jc w:val="both"/>
        <w:rPr>
          <w:color w:val="272D2E"/>
          <w:szCs w:val="22"/>
          <w:lang w:val="de-AT" w:eastAsia="de-AT"/>
        </w:rPr>
      </w:pPr>
    </w:p>
    <w:p w14:paraId="3EC12F96" w14:textId="77777777" w:rsidR="00624560" w:rsidRDefault="00624560" w:rsidP="00624560">
      <w:pPr>
        <w:shd w:val="clear" w:color="auto" w:fill="FFFFFF"/>
        <w:spacing w:line="240" w:lineRule="auto"/>
        <w:jc w:val="both"/>
        <w:rPr>
          <w:color w:val="272D2E"/>
          <w:szCs w:val="22"/>
          <w:lang w:val="de-AT" w:eastAsia="de-AT"/>
        </w:rPr>
      </w:pPr>
    </w:p>
    <w:p w14:paraId="2FAB6D8A" w14:textId="77777777" w:rsidR="005563AC" w:rsidRDefault="005563AC" w:rsidP="00624560">
      <w:pPr>
        <w:shd w:val="clear" w:color="auto" w:fill="FFFFFF"/>
        <w:spacing w:line="240" w:lineRule="auto"/>
        <w:jc w:val="both"/>
        <w:rPr>
          <w:color w:val="272D2E"/>
          <w:szCs w:val="22"/>
          <w:lang w:val="de-AT" w:eastAsia="de-AT"/>
        </w:rPr>
      </w:pPr>
    </w:p>
    <w:p w14:paraId="3DC1418E" w14:textId="77777777" w:rsidR="005563AC" w:rsidRDefault="005563AC" w:rsidP="00624560">
      <w:pPr>
        <w:shd w:val="clear" w:color="auto" w:fill="FFFFFF"/>
        <w:spacing w:line="240" w:lineRule="auto"/>
        <w:jc w:val="both"/>
        <w:rPr>
          <w:color w:val="272D2E"/>
          <w:szCs w:val="22"/>
          <w:lang w:val="de-AT" w:eastAsia="de-AT"/>
        </w:rPr>
      </w:pPr>
    </w:p>
    <w:p w14:paraId="30A94731" w14:textId="77777777" w:rsidR="005563AC" w:rsidRDefault="005563AC" w:rsidP="00624560">
      <w:pPr>
        <w:shd w:val="clear" w:color="auto" w:fill="FFFFFF"/>
        <w:spacing w:line="240" w:lineRule="auto"/>
        <w:jc w:val="both"/>
        <w:rPr>
          <w:color w:val="272D2E"/>
          <w:szCs w:val="22"/>
          <w:lang w:val="de-AT" w:eastAsia="de-AT"/>
        </w:rPr>
      </w:pPr>
    </w:p>
    <w:p w14:paraId="144B549A" w14:textId="2C008353" w:rsidR="00624560" w:rsidRPr="008B7BD0" w:rsidRDefault="00624560" w:rsidP="00624560">
      <w:pPr>
        <w:shd w:val="clear" w:color="auto" w:fill="FFFFFF"/>
        <w:spacing w:line="240" w:lineRule="auto"/>
        <w:jc w:val="right"/>
        <w:rPr>
          <w:szCs w:val="22"/>
          <w:lang w:val="de-AT" w:eastAsia="de-AT"/>
        </w:rPr>
      </w:pPr>
      <w:r w:rsidRPr="00933629">
        <w:rPr>
          <w:szCs w:val="22"/>
          <w:lang w:val="de-AT" w:eastAsia="de-AT"/>
        </w:rPr>
        <w:t>Stand:</w:t>
      </w:r>
      <w:r>
        <w:rPr>
          <w:szCs w:val="22"/>
          <w:lang w:val="de-AT" w:eastAsia="de-AT"/>
        </w:rPr>
        <w:t xml:space="preserve"> </w:t>
      </w:r>
      <w:r w:rsidR="00262BBF">
        <w:rPr>
          <w:szCs w:val="22"/>
          <w:lang w:val="de-AT" w:eastAsia="de-AT"/>
        </w:rPr>
        <w:t>Juni</w:t>
      </w:r>
      <w:r w:rsidR="00E544E4" w:rsidRPr="008B7BD0">
        <w:rPr>
          <w:szCs w:val="22"/>
          <w:lang w:val="de-AT" w:eastAsia="de-AT"/>
        </w:rPr>
        <w:t xml:space="preserve"> </w:t>
      </w:r>
      <w:r w:rsidR="005563AC" w:rsidRPr="008B7BD0">
        <w:rPr>
          <w:szCs w:val="22"/>
          <w:lang w:val="de-AT" w:eastAsia="de-AT"/>
        </w:rPr>
        <w:t>202</w:t>
      </w:r>
      <w:r w:rsidR="00E544E4">
        <w:rPr>
          <w:szCs w:val="22"/>
          <w:lang w:val="de-AT" w:eastAsia="de-AT"/>
        </w:rPr>
        <w:t>5</w:t>
      </w:r>
    </w:p>
    <w:p w14:paraId="28F959E2" w14:textId="77777777" w:rsidR="00624560" w:rsidRPr="001D55A8" w:rsidRDefault="00624560" w:rsidP="00624560">
      <w:pPr>
        <w:pStyle w:val="Fuzeile"/>
        <w:pBdr>
          <w:top w:val="single" w:sz="4" w:space="1" w:color="auto"/>
          <w:left w:val="single" w:sz="4" w:space="4" w:color="auto"/>
          <w:bottom w:val="single" w:sz="4" w:space="1" w:color="auto"/>
          <w:right w:val="single" w:sz="4" w:space="4" w:color="auto"/>
        </w:pBdr>
        <w:shd w:val="pct5" w:color="auto" w:fill="FFFFFF"/>
        <w:jc w:val="center"/>
      </w:pPr>
      <w:r>
        <w:t xml:space="preserve">Dies </w:t>
      </w:r>
      <w:r w:rsidRPr="001D55A8">
        <w:t xml:space="preserve">ist ein </w:t>
      </w:r>
      <w:r w:rsidRPr="001D55A8">
        <w:rPr>
          <w:b/>
        </w:rPr>
        <w:t>Produkt der Zusammenarbeit aller Wirtschaftskammern</w:t>
      </w:r>
      <w:r w:rsidRPr="001D55A8">
        <w:t xml:space="preserve">. </w:t>
      </w:r>
    </w:p>
    <w:p w14:paraId="00FA06F3" w14:textId="77777777" w:rsidR="00624560" w:rsidRPr="001D55A8" w:rsidRDefault="00624560" w:rsidP="00624560">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12E95592" w14:textId="77777777" w:rsidR="00624560" w:rsidRPr="001D55A8" w:rsidRDefault="00624560" w:rsidP="00624560">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1C848BD9" w14:textId="77777777" w:rsidR="00624560" w:rsidRPr="001D55A8" w:rsidRDefault="00624560" w:rsidP="00624560">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23F5BF97" w14:textId="77777777" w:rsidR="00624560" w:rsidRPr="001D55A8" w:rsidRDefault="00624560" w:rsidP="00624560">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t>1010.</w:t>
      </w:r>
    </w:p>
    <w:p w14:paraId="25C3C515" w14:textId="77777777" w:rsidR="00624560" w:rsidRDefault="00624560" w:rsidP="00624560">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im Internet unter </w:t>
      </w:r>
      <w:hyperlink r:id="rId18" w:history="1">
        <w:r w:rsidRPr="005E6FB9">
          <w:rPr>
            <w:rStyle w:val="Hyperlink"/>
          </w:rPr>
          <w:t>http://wko.at</w:t>
        </w:r>
      </w:hyperlink>
      <w:r>
        <w:rPr>
          <w:rStyle w:val="Hyperlink"/>
        </w:rPr>
        <w:t>/datenschutz</w:t>
      </w:r>
      <w:r w:rsidRPr="001D55A8">
        <w:t>. Alle Angaben erfolgen trotz sorgfältigster Bearbeitung ohne Gewähr</w:t>
      </w:r>
      <w:r>
        <w:t>.</w:t>
      </w:r>
      <w:r w:rsidRPr="001D55A8">
        <w:t xml:space="preserve"> </w:t>
      </w:r>
      <w:r>
        <w:t>E</w:t>
      </w:r>
      <w:r w:rsidRPr="001D55A8">
        <w:t>ine Haftung der Wirtschaftskammern Österreichs ist ausgeschlossen.</w:t>
      </w:r>
    </w:p>
    <w:p w14:paraId="301B09FB" w14:textId="77777777" w:rsidR="00F17D30" w:rsidRDefault="00F17D30" w:rsidP="00624560">
      <w:pPr>
        <w:pStyle w:val="Fuzeile"/>
        <w:pBdr>
          <w:top w:val="single" w:sz="4" w:space="1" w:color="auto"/>
          <w:left w:val="single" w:sz="4" w:space="4" w:color="auto"/>
          <w:bottom w:val="single" w:sz="4" w:space="1" w:color="auto"/>
          <w:right w:val="single" w:sz="4" w:space="4" w:color="auto"/>
        </w:pBdr>
        <w:shd w:val="pct5" w:color="auto" w:fill="FFFFFF"/>
        <w:jc w:val="center"/>
        <w:rPr>
          <w:color w:val="FF0000"/>
          <w:szCs w:val="14"/>
        </w:rPr>
      </w:pPr>
      <w:r w:rsidRPr="00176E6F">
        <w:rPr>
          <w:color w:val="FF0000"/>
          <w:szCs w:val="14"/>
        </w:rPr>
        <w:t>Dieses Dokument verwendet vorwiegend Fachbegriffe. Diese werden nicht gegendert!</w:t>
      </w:r>
    </w:p>
    <w:p w14:paraId="626C81D1" w14:textId="75AAAF7B" w:rsidR="00624560" w:rsidRPr="001D55A8" w:rsidRDefault="00624560" w:rsidP="00624560">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für </w:t>
      </w:r>
      <w:r>
        <w:t>alle</w:t>
      </w:r>
      <w:r w:rsidRPr="001D55A8">
        <w:t xml:space="preserve"> Geschlechter!</w:t>
      </w:r>
    </w:p>
    <w:p w14:paraId="77BD268C" w14:textId="77777777" w:rsidR="00624560" w:rsidRDefault="00624560" w:rsidP="00624560">
      <w:pPr>
        <w:shd w:val="clear" w:color="auto" w:fill="FFFFFF"/>
        <w:spacing w:line="240" w:lineRule="auto"/>
        <w:jc w:val="both"/>
        <w:rPr>
          <w:color w:val="272D2E"/>
          <w:szCs w:val="22"/>
          <w:lang w:val="de-AT" w:eastAsia="de-AT"/>
        </w:rPr>
      </w:pPr>
    </w:p>
    <w:p w14:paraId="7403B20F" w14:textId="77777777" w:rsidR="00666270" w:rsidRPr="007C2D8A" w:rsidRDefault="00666270">
      <w:pPr>
        <w:rPr>
          <w:b/>
          <w:spacing w:val="40"/>
          <w:sz w:val="32"/>
          <w:szCs w:val="44"/>
          <w:lang w:val="de-AT"/>
        </w:rPr>
      </w:pPr>
      <w:r w:rsidRPr="007C2D8A">
        <w:rPr>
          <w:spacing w:val="40"/>
          <w:sz w:val="32"/>
          <w:lang w:val="de-AT"/>
        </w:rPr>
        <w:br w:type="page"/>
      </w:r>
    </w:p>
    <w:p w14:paraId="598D41C9" w14:textId="2FEB6162" w:rsidR="004E1D88" w:rsidRPr="0008257C" w:rsidRDefault="004E1D88" w:rsidP="004E1D88">
      <w:pPr>
        <w:pStyle w:val="Titel"/>
        <w:rPr>
          <w:spacing w:val="40"/>
          <w:sz w:val="32"/>
          <w:szCs w:val="32"/>
          <w:lang w:val="en-GB"/>
        </w:rPr>
      </w:pPr>
      <w:r w:rsidRPr="0008257C">
        <w:rPr>
          <w:spacing w:val="40"/>
          <w:sz w:val="32"/>
          <w:lang w:val="en-GB"/>
        </w:rPr>
        <w:lastRenderedPageBreak/>
        <w:t>Agreement</w:t>
      </w:r>
    </w:p>
    <w:p w14:paraId="1B219CD4" w14:textId="77777777" w:rsidR="004E1D88" w:rsidRPr="0008257C" w:rsidRDefault="004E1D88" w:rsidP="004E1D88">
      <w:pPr>
        <w:pStyle w:val="Titel"/>
        <w:rPr>
          <w:b w:val="0"/>
          <w:sz w:val="28"/>
          <w:szCs w:val="28"/>
          <w:lang w:val="en-GB"/>
        </w:rPr>
      </w:pPr>
      <w:r w:rsidRPr="0008257C">
        <w:rPr>
          <w:b w:val="0"/>
          <w:sz w:val="28"/>
          <w:lang w:val="en-GB"/>
        </w:rPr>
        <w:t>concerning</w:t>
      </w:r>
    </w:p>
    <w:p w14:paraId="738A3E90" w14:textId="77777777" w:rsidR="004E1D88" w:rsidRPr="0008257C" w:rsidRDefault="004E1D88" w:rsidP="004E1D88">
      <w:pPr>
        <w:pStyle w:val="Titel"/>
        <w:rPr>
          <w:sz w:val="32"/>
          <w:szCs w:val="32"/>
          <w:lang w:val="en-GB"/>
        </w:rPr>
      </w:pPr>
      <w:r w:rsidRPr="0008257C">
        <w:rPr>
          <w:sz w:val="32"/>
          <w:lang w:val="en-GB"/>
        </w:rPr>
        <w:t xml:space="preserve">data processing by a processor in accordance </w:t>
      </w:r>
      <w:r w:rsidRPr="0008257C">
        <w:rPr>
          <w:sz w:val="32"/>
          <w:lang w:val="en-GB"/>
        </w:rPr>
        <w:br/>
        <w:t>with Art. 28 GDPR</w:t>
      </w:r>
    </w:p>
    <w:p w14:paraId="198F1A71" w14:textId="77777777" w:rsidR="004E1D88" w:rsidRPr="0008257C" w:rsidRDefault="004E1D88" w:rsidP="004E1D88">
      <w:pPr>
        <w:jc w:val="center"/>
        <w:rPr>
          <w:lang w:val="en-GB"/>
        </w:rPr>
      </w:pPr>
    </w:p>
    <w:tbl>
      <w:tblPr>
        <w:tblW w:w="9925" w:type="dxa"/>
        <w:jc w:val="center"/>
        <w:tblLayout w:type="fixed"/>
        <w:tblCellMar>
          <w:left w:w="70" w:type="dxa"/>
          <w:right w:w="70" w:type="dxa"/>
        </w:tblCellMar>
        <w:tblLook w:val="0000" w:firstRow="0" w:lastRow="0" w:firstColumn="0" w:lastColumn="0" w:noHBand="0" w:noVBand="0"/>
      </w:tblPr>
      <w:tblGrid>
        <w:gridCol w:w="4474"/>
        <w:gridCol w:w="629"/>
        <w:gridCol w:w="4822"/>
      </w:tblGrid>
      <w:tr w:rsidR="004E1D88" w:rsidRPr="0008257C" w14:paraId="304239E6" w14:textId="77777777" w:rsidTr="007C0564">
        <w:trPr>
          <w:trHeight w:val="731"/>
          <w:jc w:val="center"/>
        </w:trPr>
        <w:tc>
          <w:tcPr>
            <w:tcW w:w="4474" w:type="dxa"/>
          </w:tcPr>
          <w:p w14:paraId="21F62BE8" w14:textId="77777777" w:rsidR="004E1D88" w:rsidRPr="0008257C" w:rsidRDefault="004E1D88" w:rsidP="00AB5A28">
            <w:pPr>
              <w:rPr>
                <w:i/>
                <w:lang w:val="en-GB"/>
              </w:rPr>
            </w:pPr>
          </w:p>
          <w:p w14:paraId="7BFF285D" w14:textId="77777777" w:rsidR="004E1D88" w:rsidRPr="0008257C" w:rsidRDefault="004E1D88" w:rsidP="00AB5A28">
            <w:pPr>
              <w:jc w:val="center"/>
              <w:rPr>
                <w:i/>
                <w:lang w:val="en-GB"/>
              </w:rPr>
            </w:pPr>
            <w:r w:rsidRPr="0008257C">
              <w:rPr>
                <w:lang w:val="en-GB"/>
              </w:rPr>
              <w:t>The controller:</w:t>
            </w:r>
          </w:p>
        </w:tc>
        <w:tc>
          <w:tcPr>
            <w:tcW w:w="629" w:type="dxa"/>
          </w:tcPr>
          <w:p w14:paraId="06BC63C3" w14:textId="77777777" w:rsidR="004E1D88" w:rsidRPr="0008257C" w:rsidRDefault="004E1D88" w:rsidP="00AB5A28">
            <w:pPr>
              <w:rPr>
                <w:lang w:val="en-GB"/>
              </w:rPr>
            </w:pPr>
          </w:p>
          <w:p w14:paraId="044BD994" w14:textId="77777777" w:rsidR="004E1D88" w:rsidRPr="0008257C" w:rsidRDefault="004E1D88" w:rsidP="00AB5A28">
            <w:pPr>
              <w:jc w:val="center"/>
              <w:rPr>
                <w:i/>
                <w:lang w:val="en-GB"/>
              </w:rPr>
            </w:pPr>
          </w:p>
        </w:tc>
        <w:tc>
          <w:tcPr>
            <w:tcW w:w="4822" w:type="dxa"/>
          </w:tcPr>
          <w:p w14:paraId="6CE6BCE8" w14:textId="77777777" w:rsidR="004E1D88" w:rsidRPr="0008257C" w:rsidRDefault="004E1D88" w:rsidP="00AB5A28">
            <w:pPr>
              <w:rPr>
                <w:i/>
                <w:lang w:val="en-GB"/>
              </w:rPr>
            </w:pPr>
          </w:p>
          <w:p w14:paraId="6AEA0EAF" w14:textId="77777777" w:rsidR="004E1D88" w:rsidRPr="0008257C" w:rsidRDefault="004E1D88" w:rsidP="00AB5A28">
            <w:pPr>
              <w:jc w:val="center"/>
              <w:rPr>
                <w:i/>
                <w:lang w:val="en-GB"/>
              </w:rPr>
            </w:pPr>
            <w:r w:rsidRPr="0008257C">
              <w:rPr>
                <w:lang w:val="en-GB"/>
              </w:rPr>
              <w:t>The processor:</w:t>
            </w:r>
          </w:p>
        </w:tc>
      </w:tr>
      <w:tr w:rsidR="004E1D88" w:rsidRPr="0008257C" w14:paraId="720A9C29" w14:textId="77777777" w:rsidTr="007C0564">
        <w:trPr>
          <w:trHeight w:val="83"/>
          <w:jc w:val="center"/>
        </w:trPr>
        <w:tc>
          <w:tcPr>
            <w:tcW w:w="4474" w:type="dxa"/>
          </w:tcPr>
          <w:p w14:paraId="77B3FCCD" w14:textId="77777777" w:rsidR="004E1D88" w:rsidRPr="00BE4329" w:rsidRDefault="004E1D88" w:rsidP="00AB5A28">
            <w:pPr>
              <w:rPr>
                <w:lang w:val="en-GB"/>
              </w:rPr>
            </w:pPr>
          </w:p>
          <w:p w14:paraId="4EF632EB" w14:textId="77777777" w:rsidR="004E1D88" w:rsidRPr="00BE4329" w:rsidRDefault="004E1D88" w:rsidP="00AB5A28">
            <w:pPr>
              <w:rPr>
                <w:lang w:val="en-GB"/>
              </w:rPr>
            </w:pPr>
          </w:p>
          <w:p w14:paraId="560C3152" w14:textId="13C6669A" w:rsidR="004E1D88" w:rsidRPr="00BE4329" w:rsidRDefault="004E1D88" w:rsidP="00AB5A28">
            <w:pPr>
              <w:jc w:val="center"/>
              <w:rPr>
                <w:b/>
                <w:lang w:val="en-GB"/>
              </w:rPr>
            </w:pPr>
            <w:r w:rsidRPr="00BE4329">
              <w:rPr>
                <w:b/>
                <w:lang w:val="en-GB"/>
              </w:rPr>
              <w:t>[</w:t>
            </w:r>
            <w:r w:rsidR="005B0EC4" w:rsidRPr="00BE4329">
              <w:rPr>
                <w:b/>
                <w:i/>
                <w:lang w:val="en-GB"/>
              </w:rPr>
              <w:t>N</w:t>
            </w:r>
            <w:r w:rsidRPr="00BE4329">
              <w:rPr>
                <w:b/>
                <w:i/>
                <w:lang w:val="en-GB"/>
              </w:rPr>
              <w:t>N</w:t>
            </w:r>
            <w:r w:rsidRPr="00BE4329">
              <w:rPr>
                <w:b/>
                <w:lang w:val="en-GB"/>
              </w:rPr>
              <w:t>]</w:t>
            </w:r>
          </w:p>
          <w:p w14:paraId="2CCCE95D" w14:textId="77777777" w:rsidR="004E1D88" w:rsidRPr="00BE4329" w:rsidRDefault="004E1D88" w:rsidP="00AB5A28">
            <w:pPr>
              <w:jc w:val="center"/>
              <w:rPr>
                <w:lang w:val="en-GB"/>
              </w:rPr>
            </w:pPr>
            <w:r w:rsidRPr="00BE4329">
              <w:rPr>
                <w:lang w:val="en-GB"/>
              </w:rPr>
              <w:t>[</w:t>
            </w:r>
            <w:r w:rsidRPr="00BE4329">
              <w:rPr>
                <w:i/>
                <w:lang w:val="en-GB"/>
              </w:rPr>
              <w:t>Address</w:t>
            </w:r>
            <w:r w:rsidRPr="00BE4329">
              <w:rPr>
                <w:lang w:val="en-GB"/>
              </w:rPr>
              <w:t>]</w:t>
            </w:r>
          </w:p>
          <w:p w14:paraId="4C214EB4" w14:textId="77777777" w:rsidR="004E1D88" w:rsidRPr="00BE4329" w:rsidRDefault="004E1D88" w:rsidP="00AB5A28">
            <w:pPr>
              <w:rPr>
                <w:lang w:val="en-GB"/>
              </w:rPr>
            </w:pPr>
          </w:p>
          <w:p w14:paraId="34D538E4" w14:textId="77777777" w:rsidR="004E1D88" w:rsidRPr="00BE4329" w:rsidRDefault="004E1D88" w:rsidP="00AB5A28">
            <w:pPr>
              <w:rPr>
                <w:lang w:val="en-GB"/>
              </w:rPr>
            </w:pPr>
          </w:p>
        </w:tc>
        <w:tc>
          <w:tcPr>
            <w:tcW w:w="629" w:type="dxa"/>
          </w:tcPr>
          <w:p w14:paraId="72F45313" w14:textId="77777777" w:rsidR="004E1D88" w:rsidRPr="00BE4329" w:rsidRDefault="004E1D88" w:rsidP="00AB5A28">
            <w:pPr>
              <w:rPr>
                <w:lang w:val="en-GB"/>
              </w:rPr>
            </w:pPr>
          </w:p>
        </w:tc>
        <w:tc>
          <w:tcPr>
            <w:tcW w:w="4822" w:type="dxa"/>
          </w:tcPr>
          <w:p w14:paraId="2223EE59" w14:textId="77777777" w:rsidR="004E1D88" w:rsidRPr="00BE4329" w:rsidRDefault="004E1D88" w:rsidP="00AB5A28">
            <w:pPr>
              <w:rPr>
                <w:lang w:val="en-GB"/>
              </w:rPr>
            </w:pPr>
          </w:p>
          <w:p w14:paraId="577B9C48" w14:textId="77777777" w:rsidR="004E1D88" w:rsidRPr="00BE4329" w:rsidRDefault="004E1D88" w:rsidP="00AB5A28">
            <w:pPr>
              <w:rPr>
                <w:lang w:val="en-GB"/>
              </w:rPr>
            </w:pPr>
          </w:p>
          <w:p w14:paraId="3C2748BA" w14:textId="62ABAB88" w:rsidR="004E1D88" w:rsidRPr="00BE4329" w:rsidRDefault="004E1D88" w:rsidP="00AB5A28">
            <w:pPr>
              <w:jc w:val="center"/>
              <w:rPr>
                <w:b/>
                <w:lang w:val="en-GB"/>
              </w:rPr>
            </w:pPr>
            <w:r w:rsidRPr="00BE4329">
              <w:rPr>
                <w:b/>
                <w:lang w:val="en-GB"/>
              </w:rPr>
              <w:t>[</w:t>
            </w:r>
            <w:r w:rsidR="005B0EC4" w:rsidRPr="00BE4329">
              <w:rPr>
                <w:b/>
                <w:i/>
                <w:lang w:val="en-GB"/>
              </w:rPr>
              <w:t>NN</w:t>
            </w:r>
            <w:r w:rsidRPr="00BE4329">
              <w:rPr>
                <w:b/>
                <w:lang w:val="en-GB"/>
              </w:rPr>
              <w:t>]</w:t>
            </w:r>
          </w:p>
          <w:p w14:paraId="4A1DE7DA" w14:textId="77777777" w:rsidR="004E1D88" w:rsidRPr="00BE4329" w:rsidRDefault="004E1D88" w:rsidP="00AB5A28">
            <w:pPr>
              <w:jc w:val="center"/>
              <w:rPr>
                <w:lang w:val="en-GB"/>
              </w:rPr>
            </w:pPr>
            <w:r w:rsidRPr="00BE4329">
              <w:rPr>
                <w:lang w:val="en-GB"/>
              </w:rPr>
              <w:t>[</w:t>
            </w:r>
            <w:r w:rsidRPr="00BE4329">
              <w:rPr>
                <w:i/>
                <w:lang w:val="en-GB"/>
              </w:rPr>
              <w:t>Address</w:t>
            </w:r>
            <w:r w:rsidRPr="00BE4329">
              <w:rPr>
                <w:lang w:val="en-GB"/>
              </w:rPr>
              <w:t>]</w:t>
            </w:r>
          </w:p>
          <w:p w14:paraId="78547FB1" w14:textId="77777777" w:rsidR="004E1D88" w:rsidRPr="00BE4329" w:rsidRDefault="004E1D88" w:rsidP="00AB5A28">
            <w:pPr>
              <w:rPr>
                <w:lang w:val="en-GB"/>
              </w:rPr>
            </w:pPr>
          </w:p>
          <w:p w14:paraId="5CB39FE9" w14:textId="77777777" w:rsidR="004E1D88" w:rsidRPr="00BE4329" w:rsidRDefault="004E1D88" w:rsidP="00AB5A28">
            <w:pPr>
              <w:jc w:val="center"/>
              <w:rPr>
                <w:lang w:val="en-GB"/>
              </w:rPr>
            </w:pPr>
          </w:p>
        </w:tc>
      </w:tr>
      <w:tr w:rsidR="004E1D88" w:rsidRPr="00CE2BC7" w14:paraId="4FFBDCB9" w14:textId="77777777" w:rsidTr="007C0564">
        <w:trPr>
          <w:trHeight w:val="83"/>
          <w:jc w:val="center"/>
        </w:trPr>
        <w:tc>
          <w:tcPr>
            <w:tcW w:w="4474" w:type="dxa"/>
          </w:tcPr>
          <w:p w14:paraId="1C15CE07" w14:textId="77777777" w:rsidR="004E1D88" w:rsidRPr="0008257C" w:rsidRDefault="004E1D88" w:rsidP="00AB5A28">
            <w:pPr>
              <w:jc w:val="center"/>
              <w:rPr>
                <w:lang w:val="en-GB"/>
              </w:rPr>
            </w:pPr>
            <w:r w:rsidRPr="0008257C">
              <w:rPr>
                <w:lang w:val="en-GB"/>
              </w:rPr>
              <w:t xml:space="preserve">(Hereinafter referred to as client] </w:t>
            </w:r>
          </w:p>
        </w:tc>
        <w:tc>
          <w:tcPr>
            <w:tcW w:w="629" w:type="dxa"/>
          </w:tcPr>
          <w:p w14:paraId="0B8DA336" w14:textId="77777777" w:rsidR="004E1D88" w:rsidRPr="0008257C" w:rsidRDefault="004E1D88" w:rsidP="00AB5A28">
            <w:pPr>
              <w:rPr>
                <w:lang w:val="en-GB"/>
              </w:rPr>
            </w:pPr>
          </w:p>
        </w:tc>
        <w:tc>
          <w:tcPr>
            <w:tcW w:w="4822" w:type="dxa"/>
          </w:tcPr>
          <w:p w14:paraId="53BAF8BA" w14:textId="77777777" w:rsidR="004E1D88" w:rsidRPr="0008257C" w:rsidRDefault="004E1D88" w:rsidP="00AB5A28">
            <w:pPr>
              <w:jc w:val="center"/>
              <w:rPr>
                <w:lang w:val="en-GB"/>
              </w:rPr>
            </w:pPr>
            <w:r w:rsidRPr="0008257C">
              <w:rPr>
                <w:lang w:val="en-GB"/>
              </w:rPr>
              <w:t>(Hereinafter referred to as contractor)</w:t>
            </w:r>
          </w:p>
          <w:p w14:paraId="46E4D48E" w14:textId="77777777" w:rsidR="004E1D88" w:rsidRPr="0008257C" w:rsidRDefault="004E1D88" w:rsidP="00AB5A28">
            <w:pPr>
              <w:jc w:val="center"/>
              <w:rPr>
                <w:lang w:val="en-GB"/>
              </w:rPr>
            </w:pPr>
          </w:p>
          <w:p w14:paraId="53BB3562" w14:textId="77777777" w:rsidR="004E1D88" w:rsidRPr="0008257C" w:rsidRDefault="004E1D88" w:rsidP="00AB5A28">
            <w:pPr>
              <w:jc w:val="center"/>
              <w:rPr>
                <w:lang w:val="en-GB"/>
              </w:rPr>
            </w:pPr>
          </w:p>
        </w:tc>
      </w:tr>
    </w:tbl>
    <w:p w14:paraId="0C4F832C" w14:textId="77777777" w:rsidR="004E1D88" w:rsidRPr="0008257C" w:rsidRDefault="004E1D88" w:rsidP="004E1D88">
      <w:pPr>
        <w:pStyle w:val="berschrift1"/>
        <w:pageBreakBefore w:val="0"/>
        <w:numPr>
          <w:ilvl w:val="0"/>
          <w:numId w:val="12"/>
        </w:numPr>
        <w:suppressAutoHyphens/>
        <w:spacing w:after="0" w:line="240" w:lineRule="auto"/>
        <w:ind w:left="284" w:hanging="284"/>
        <w:rPr>
          <w:rFonts w:ascii="Trebuchet MS" w:hAnsi="Trebuchet MS"/>
          <w:sz w:val="22"/>
          <w:szCs w:val="22"/>
          <w:lang w:val="en-GB"/>
        </w:rPr>
      </w:pPr>
      <w:r w:rsidRPr="0008257C">
        <w:rPr>
          <w:rFonts w:ascii="Trebuchet MS" w:hAnsi="Trebuchet MS"/>
          <w:sz w:val="22"/>
          <w:lang w:val="en-GB"/>
        </w:rPr>
        <w:t>Subject matter of the agreement</w:t>
      </w:r>
    </w:p>
    <w:p w14:paraId="6167D9EB" w14:textId="77777777" w:rsidR="004E1D88" w:rsidRPr="0008257C" w:rsidRDefault="004E1D88" w:rsidP="004E1D88">
      <w:pPr>
        <w:rPr>
          <w:lang w:val="en-GB"/>
        </w:rPr>
      </w:pPr>
    </w:p>
    <w:p w14:paraId="681FE948" w14:textId="77777777" w:rsidR="004E1D88" w:rsidRPr="0008257C" w:rsidRDefault="004E1D88" w:rsidP="004E1D88">
      <w:pPr>
        <w:pStyle w:val="Listenabsatz"/>
        <w:numPr>
          <w:ilvl w:val="0"/>
          <w:numId w:val="9"/>
        </w:numPr>
        <w:spacing w:line="240" w:lineRule="auto"/>
        <w:rPr>
          <w:i/>
          <w:lang w:val="en-GB"/>
        </w:rPr>
      </w:pPr>
      <w:r w:rsidRPr="0008257C">
        <w:rPr>
          <w:lang w:val="en-GB"/>
        </w:rPr>
        <w:t>The subject matter of this agreement is the implementation of the following tasks: [</w:t>
      </w:r>
      <w:r w:rsidRPr="0008257C">
        <w:rPr>
          <w:i/>
          <w:lang w:val="en-GB"/>
        </w:rPr>
        <w:t>a detailed description of the tasks of the contractor, including the type and purpose of the intended processing</w:t>
      </w:r>
      <w:r w:rsidRPr="0008257C">
        <w:rPr>
          <w:lang w:val="en-GB"/>
        </w:rPr>
        <w:t xml:space="preserve">]. </w:t>
      </w:r>
    </w:p>
    <w:p w14:paraId="2B4551FD" w14:textId="77777777" w:rsidR="004E1D88" w:rsidRPr="0008257C" w:rsidRDefault="004E1D88" w:rsidP="004E1D88">
      <w:pPr>
        <w:ind w:left="360"/>
        <w:rPr>
          <w:lang w:val="en-GB"/>
        </w:rPr>
      </w:pPr>
      <w:r w:rsidRPr="0008257C">
        <w:rPr>
          <w:lang w:val="en-GB"/>
        </w:rPr>
        <w:t>{</w:t>
      </w:r>
      <w:r w:rsidRPr="0008257C">
        <w:rPr>
          <w:u w:val="single"/>
          <w:lang w:val="en-GB"/>
        </w:rPr>
        <w:t>In case of a framework agreement, service agreement, performance agreement, or similar is in place</w:t>
      </w:r>
      <w:r w:rsidRPr="0008257C">
        <w:rPr>
          <w:lang w:val="en-GB"/>
        </w:rPr>
        <w:t>} This agreement is to be considered a supplementary document to [</w:t>
      </w:r>
      <w:r w:rsidRPr="0008257C">
        <w:rPr>
          <w:i/>
          <w:lang w:val="en-GB"/>
        </w:rPr>
        <w:t>add contract etc including</w:t>
      </w:r>
      <w:r w:rsidRPr="0008257C">
        <w:rPr>
          <w:lang w:val="en-GB"/>
        </w:rPr>
        <w:t xml:space="preserve"> </w:t>
      </w:r>
      <w:r w:rsidRPr="0008257C">
        <w:rPr>
          <w:i/>
          <w:lang w:val="en-GB"/>
        </w:rPr>
        <w:t>date</w:t>
      </w:r>
      <w:r w:rsidRPr="0008257C">
        <w:rPr>
          <w:lang w:val="en-GB"/>
        </w:rPr>
        <w:t>].</w:t>
      </w:r>
    </w:p>
    <w:p w14:paraId="1D6720CB" w14:textId="77777777" w:rsidR="004E1D88" w:rsidRPr="0008257C" w:rsidRDefault="004E1D88" w:rsidP="004E1D88">
      <w:pPr>
        <w:pStyle w:val="Listenabsatz"/>
        <w:numPr>
          <w:ilvl w:val="0"/>
          <w:numId w:val="9"/>
        </w:numPr>
        <w:spacing w:line="240" w:lineRule="auto"/>
        <w:rPr>
          <w:lang w:val="en-GB"/>
        </w:rPr>
      </w:pPr>
      <w:r w:rsidRPr="0008257C">
        <w:rPr>
          <w:lang w:val="en-GB"/>
        </w:rPr>
        <w:t>The following data categories are processed: [</w:t>
      </w:r>
      <w:r w:rsidRPr="0008257C">
        <w:rPr>
          <w:i/>
          <w:lang w:val="en-GB"/>
        </w:rPr>
        <w:t>list data categories, e.g. contact, contract, invoice, credit-history, order and payment details etc</w:t>
      </w:r>
      <w:r w:rsidRPr="0008257C">
        <w:rPr>
          <w:lang w:val="en-GB"/>
        </w:rPr>
        <w:t>].</w:t>
      </w:r>
    </w:p>
    <w:p w14:paraId="1861C2F9" w14:textId="77777777" w:rsidR="004E1D88" w:rsidRPr="0008257C" w:rsidRDefault="004E1D88" w:rsidP="004E1D88">
      <w:pPr>
        <w:pStyle w:val="Listenabsatz"/>
        <w:numPr>
          <w:ilvl w:val="0"/>
          <w:numId w:val="9"/>
        </w:numPr>
        <w:spacing w:line="240" w:lineRule="auto"/>
        <w:rPr>
          <w:lang w:val="en-GB"/>
        </w:rPr>
      </w:pPr>
      <w:r w:rsidRPr="0008257C">
        <w:rPr>
          <w:lang w:val="en-GB"/>
        </w:rPr>
        <w:t>The following categories of data subjects are subject to this processing [</w:t>
      </w:r>
      <w:r w:rsidRPr="0008257C">
        <w:rPr>
          <w:i/>
          <w:lang w:val="en-GB"/>
        </w:rPr>
        <w:t>add categories of data subjects, e.g. clients, interested parties, suppliers, points of contact, employees etc.</w:t>
      </w:r>
      <w:r w:rsidRPr="0008257C">
        <w:rPr>
          <w:lang w:val="en-GB"/>
        </w:rPr>
        <w:t>]</w:t>
      </w:r>
    </w:p>
    <w:p w14:paraId="798178E9" w14:textId="77777777" w:rsidR="004E1D88" w:rsidRPr="0008257C" w:rsidRDefault="004E1D88" w:rsidP="004E1D88">
      <w:pPr>
        <w:pStyle w:val="Listenabsatz"/>
        <w:spacing w:line="240" w:lineRule="auto"/>
        <w:ind w:left="360"/>
        <w:rPr>
          <w:lang w:val="en-GB"/>
        </w:rPr>
      </w:pPr>
    </w:p>
    <w:p w14:paraId="77087428" w14:textId="77777777" w:rsidR="004E1D88" w:rsidRPr="0008257C" w:rsidRDefault="004E1D88" w:rsidP="004E1D88">
      <w:pPr>
        <w:pStyle w:val="berschrift1"/>
        <w:pageBreakBefore w:val="0"/>
        <w:numPr>
          <w:ilvl w:val="0"/>
          <w:numId w:val="12"/>
        </w:numPr>
        <w:suppressAutoHyphens/>
        <w:spacing w:after="0" w:line="240" w:lineRule="auto"/>
        <w:ind w:left="284" w:hanging="284"/>
        <w:rPr>
          <w:rFonts w:ascii="Trebuchet MS" w:hAnsi="Trebuchet MS"/>
          <w:sz w:val="22"/>
          <w:szCs w:val="22"/>
          <w:lang w:val="en-GB"/>
        </w:rPr>
      </w:pPr>
      <w:r w:rsidRPr="0008257C">
        <w:rPr>
          <w:rFonts w:ascii="Trebuchet MS" w:hAnsi="Trebuchet MS"/>
          <w:sz w:val="22"/>
          <w:lang w:val="en-GB"/>
        </w:rPr>
        <w:t>Duration of the agreement</w:t>
      </w:r>
    </w:p>
    <w:p w14:paraId="1A5D29EE" w14:textId="77777777" w:rsidR="004E1D88" w:rsidRPr="0008257C" w:rsidRDefault="004E1D88" w:rsidP="004E1D88">
      <w:pPr>
        <w:rPr>
          <w:lang w:val="en-GB"/>
        </w:rPr>
      </w:pPr>
    </w:p>
    <w:p w14:paraId="031E4BA2" w14:textId="77777777" w:rsidR="004E1D88" w:rsidRPr="0008257C" w:rsidRDefault="004E1D88" w:rsidP="004E1D88">
      <w:pPr>
        <w:rPr>
          <w:lang w:val="en-GB"/>
        </w:rPr>
      </w:pPr>
      <w:r w:rsidRPr="0008257C">
        <w:rPr>
          <w:lang w:val="en-GB"/>
        </w:rPr>
        <w:t>{</w:t>
      </w:r>
      <w:r w:rsidRPr="0008257C">
        <w:rPr>
          <w:u w:val="single"/>
          <w:lang w:val="en-GB"/>
        </w:rPr>
        <w:t>Single implementation</w:t>
      </w:r>
      <w:r w:rsidRPr="0008257C">
        <w:rPr>
          <w:lang w:val="en-GB"/>
        </w:rPr>
        <w:t>} The agreement ends with a single execution of the tasks.</w:t>
      </w:r>
    </w:p>
    <w:p w14:paraId="3C4833DC" w14:textId="77777777" w:rsidR="004E1D88" w:rsidRPr="0008257C" w:rsidRDefault="004E1D88" w:rsidP="004E1D88">
      <w:pPr>
        <w:spacing w:before="120"/>
        <w:rPr>
          <w:lang w:val="en-GB"/>
        </w:rPr>
      </w:pPr>
      <w:r w:rsidRPr="0008257C">
        <w:rPr>
          <w:lang w:val="en-GB"/>
        </w:rPr>
        <w:t>{</w:t>
      </w:r>
      <w:r w:rsidRPr="0008257C">
        <w:rPr>
          <w:u w:val="single"/>
          <w:lang w:val="en-GB"/>
        </w:rPr>
        <w:t>Temporary duration</w:t>
      </w:r>
      <w:r w:rsidRPr="0008257C">
        <w:rPr>
          <w:lang w:val="en-GB"/>
        </w:rPr>
        <w:t>} The agreement is temporary and ends with [</w:t>
      </w:r>
      <w:r w:rsidRPr="0008257C">
        <w:rPr>
          <w:i/>
          <w:lang w:val="en-GB"/>
        </w:rPr>
        <w:t>add deadline</w:t>
      </w:r>
      <w:r w:rsidRPr="0008257C">
        <w:rPr>
          <w:lang w:val="en-GB"/>
        </w:rPr>
        <w:t>].</w:t>
      </w:r>
    </w:p>
    <w:p w14:paraId="38FA46A2" w14:textId="77777777" w:rsidR="004E1D88" w:rsidRPr="0008257C" w:rsidRDefault="004E1D88" w:rsidP="004E1D88">
      <w:pPr>
        <w:spacing w:before="120"/>
        <w:rPr>
          <w:szCs w:val="22"/>
          <w:lang w:val="en-GB"/>
        </w:rPr>
      </w:pPr>
      <w:r w:rsidRPr="0008257C">
        <w:rPr>
          <w:lang w:val="en-GB"/>
        </w:rPr>
        <w:t>{</w:t>
      </w:r>
      <w:r w:rsidRPr="0008257C">
        <w:rPr>
          <w:u w:val="single"/>
          <w:lang w:val="en-GB"/>
        </w:rPr>
        <w:t>Unlimited duration</w:t>
      </w:r>
      <w:r w:rsidRPr="0008257C">
        <w:rPr>
          <w:lang w:val="en-GB"/>
        </w:rPr>
        <w:t>} The agreement does not have a defined endpoint and can be ended by either party with a notice period of [</w:t>
      </w:r>
      <w:r w:rsidRPr="0008257C">
        <w:rPr>
          <w:i/>
          <w:lang w:val="en-GB"/>
        </w:rPr>
        <w:t>add notice period e.g. one month</w:t>
      </w:r>
      <w:r w:rsidRPr="0008257C">
        <w:rPr>
          <w:lang w:val="en-GB"/>
        </w:rPr>
        <w:t>] on [</w:t>
      </w:r>
      <w:r w:rsidRPr="0008257C">
        <w:rPr>
          <w:i/>
          <w:lang w:val="en-GB"/>
        </w:rPr>
        <w:t>add notice date e.g. every quarter</w:t>
      </w:r>
      <w:r w:rsidRPr="0008257C">
        <w:rPr>
          <w:lang w:val="en-GB"/>
        </w:rPr>
        <w:t>]. The option to terminate due to exceptional circumstances remains unaffected.</w:t>
      </w:r>
    </w:p>
    <w:p w14:paraId="747478CF" w14:textId="77777777" w:rsidR="004E1D88" w:rsidRPr="0008257C" w:rsidRDefault="004E1D88" w:rsidP="004E1D88">
      <w:pPr>
        <w:shd w:val="clear" w:color="auto" w:fill="FFFFFF"/>
        <w:spacing w:line="240" w:lineRule="auto"/>
        <w:jc w:val="both"/>
        <w:rPr>
          <w:szCs w:val="22"/>
          <w:lang w:val="en-GB"/>
        </w:rPr>
        <w:sectPr w:rsidR="004E1D88" w:rsidRPr="0008257C" w:rsidSect="008B7BD0">
          <w:headerReference w:type="even" r:id="rId19"/>
          <w:headerReference w:type="default" r:id="rId20"/>
          <w:footerReference w:type="even" r:id="rId21"/>
          <w:footerReference w:type="default" r:id="rId22"/>
          <w:headerReference w:type="first" r:id="rId23"/>
          <w:footerReference w:type="first" r:id="rId24"/>
          <w:pgSz w:w="11906" w:h="16838"/>
          <w:pgMar w:top="1985" w:right="1418" w:bottom="1134" w:left="1701" w:header="708" w:footer="708" w:gutter="0"/>
          <w:cols w:space="708"/>
          <w:docGrid w:linePitch="360"/>
        </w:sectPr>
      </w:pPr>
    </w:p>
    <w:p w14:paraId="334B93BD" w14:textId="77777777" w:rsidR="004E1D88" w:rsidRPr="0008257C" w:rsidRDefault="004E1D88" w:rsidP="004E1D88">
      <w:pPr>
        <w:pStyle w:val="berschrift1"/>
        <w:pageBreakBefore w:val="0"/>
        <w:numPr>
          <w:ilvl w:val="0"/>
          <w:numId w:val="12"/>
        </w:numPr>
        <w:suppressAutoHyphens/>
        <w:spacing w:after="0" w:line="240" w:lineRule="auto"/>
        <w:ind w:left="284" w:hanging="284"/>
        <w:rPr>
          <w:rFonts w:ascii="Trebuchet MS" w:hAnsi="Trebuchet MS"/>
          <w:sz w:val="22"/>
          <w:szCs w:val="22"/>
          <w:lang w:val="en-GB"/>
        </w:rPr>
      </w:pPr>
      <w:r w:rsidRPr="0008257C">
        <w:rPr>
          <w:rFonts w:ascii="Trebuchet MS" w:hAnsi="Trebuchet MS"/>
          <w:sz w:val="22"/>
          <w:lang w:val="en-GB"/>
        </w:rPr>
        <w:lastRenderedPageBreak/>
        <w:t>Obligations of the contractor</w:t>
      </w:r>
    </w:p>
    <w:p w14:paraId="756F7AEB" w14:textId="77777777" w:rsidR="004E1D88" w:rsidRPr="0008257C" w:rsidRDefault="004E1D88" w:rsidP="004E1D88">
      <w:pPr>
        <w:rPr>
          <w:lang w:val="en-GB"/>
        </w:rPr>
      </w:pPr>
    </w:p>
    <w:p w14:paraId="50CB9197" w14:textId="77777777" w:rsidR="004E1D88" w:rsidRPr="0008257C" w:rsidRDefault="004E1D88" w:rsidP="004E1D88">
      <w:pPr>
        <w:pStyle w:val="Listenabsatz"/>
        <w:numPr>
          <w:ilvl w:val="0"/>
          <w:numId w:val="11"/>
        </w:numPr>
        <w:spacing w:line="240" w:lineRule="auto"/>
        <w:ind w:left="426" w:hanging="426"/>
        <w:rPr>
          <w:lang w:val="en-GB"/>
        </w:rPr>
      </w:pPr>
      <w:r w:rsidRPr="0008257C">
        <w:rPr>
          <w:lang w:val="en-GB"/>
        </w:rPr>
        <w:t xml:space="preserve">The contractor commits himself to process the data and the processing results exclusively within the scope of the written assignment of the client. Should the contractor be required to release data of the client by request of the authorities, then he </w:t>
      </w:r>
      <w:proofErr w:type="gramStart"/>
      <w:r w:rsidRPr="0008257C">
        <w:rPr>
          <w:lang w:val="en-GB"/>
        </w:rPr>
        <w:t>has to</w:t>
      </w:r>
      <w:proofErr w:type="gramEnd"/>
      <w:r w:rsidRPr="0008257C">
        <w:rPr>
          <w:lang w:val="en-GB"/>
        </w:rPr>
        <w:t xml:space="preserve"> – as far as it is legally permitted - inform the client of the above without delay and refer the authorities to the client. Likewise, the processing of data for the contractor’s own benefit requires written approval by the client.</w:t>
      </w:r>
    </w:p>
    <w:p w14:paraId="2C9D3063" w14:textId="77777777" w:rsidR="004E1D88" w:rsidRPr="0008257C" w:rsidRDefault="004E1D88" w:rsidP="004E1D88">
      <w:pPr>
        <w:pStyle w:val="Listenabsatz"/>
        <w:numPr>
          <w:ilvl w:val="0"/>
          <w:numId w:val="11"/>
        </w:numPr>
        <w:spacing w:line="240" w:lineRule="auto"/>
        <w:ind w:left="426" w:hanging="426"/>
        <w:rPr>
          <w:lang w:val="en-GB"/>
        </w:rPr>
      </w:pPr>
      <w:r w:rsidRPr="0008257C">
        <w:rPr>
          <w:lang w:val="en-GB"/>
        </w:rPr>
        <w:t xml:space="preserve">The contractor declares legally binding that he has obligated all persons, assigned to process the data, to adhere to the confidentiality practices, prior to the beginning of the task, or that they are bound by an appropriate, legal non-disclosure obligation. The non-disclosure obligations are upheld, even when their assignment is completed and the contractor no longer employs them. </w:t>
      </w:r>
    </w:p>
    <w:p w14:paraId="25561A56" w14:textId="77777777" w:rsidR="004E1D88" w:rsidRPr="0008257C" w:rsidRDefault="004E1D88" w:rsidP="004E1D88">
      <w:pPr>
        <w:pStyle w:val="Listenabsatz"/>
        <w:numPr>
          <w:ilvl w:val="0"/>
          <w:numId w:val="11"/>
        </w:numPr>
        <w:spacing w:line="240" w:lineRule="auto"/>
        <w:ind w:left="426" w:hanging="426"/>
        <w:rPr>
          <w:lang w:val="en-GB"/>
        </w:rPr>
      </w:pPr>
      <w:r w:rsidRPr="0008257C">
        <w:rPr>
          <w:lang w:val="en-GB"/>
        </w:rPr>
        <w:t xml:space="preserve">The contractor declares that he has taken all required steps to ensure that the security of the processing is upheld in accordance with Art. 32 GDPR (for specifications see </w:t>
      </w:r>
      <w:proofErr w:type="gramStart"/>
      <w:r w:rsidRPr="0008257C">
        <w:rPr>
          <w:lang w:val="en-GB"/>
        </w:rPr>
        <w:t>appendix .</w:t>
      </w:r>
      <w:proofErr w:type="gramEnd"/>
      <w:r w:rsidRPr="0008257C">
        <w:rPr>
          <w:lang w:val="en-GB"/>
        </w:rPr>
        <w:t>/1).</w:t>
      </w:r>
    </w:p>
    <w:p w14:paraId="733D1CF2" w14:textId="77777777" w:rsidR="004E1D88" w:rsidRPr="0008257C" w:rsidRDefault="004E1D88" w:rsidP="004E1D88">
      <w:pPr>
        <w:pStyle w:val="Listenabsatz"/>
        <w:numPr>
          <w:ilvl w:val="0"/>
          <w:numId w:val="11"/>
        </w:numPr>
        <w:spacing w:line="240" w:lineRule="auto"/>
        <w:ind w:left="426" w:hanging="426"/>
        <w:rPr>
          <w:lang w:val="en-GB"/>
        </w:rPr>
      </w:pPr>
      <w:r w:rsidRPr="0008257C">
        <w:rPr>
          <w:lang w:val="en-GB"/>
        </w:rPr>
        <w:t>The contractor implements the appropriate technical and organisational measures so that the client can comply with the rights of the affected individuals as per chap. III of the GDPR (information, access, rectification and erasure, data portability, objection as well as automated individual decision-making) at any time and within the legal deadlines and will submit all necessary information to the client. Should a relevant request be sent to the contractor and should this request show that the sender of the request mistakenly considers him the controller of the processing operated by the contractor, then the contractor must forward this request to the client without delay and notify the sender of the above.</w:t>
      </w:r>
    </w:p>
    <w:p w14:paraId="0A8C699A" w14:textId="77777777" w:rsidR="004E1D88" w:rsidRPr="0008257C" w:rsidRDefault="004E1D88" w:rsidP="004E1D88">
      <w:pPr>
        <w:pStyle w:val="Listenabsatz"/>
        <w:numPr>
          <w:ilvl w:val="0"/>
          <w:numId w:val="11"/>
        </w:numPr>
        <w:spacing w:line="240" w:lineRule="auto"/>
        <w:ind w:left="426" w:hanging="426"/>
        <w:rPr>
          <w:lang w:val="en-GB"/>
        </w:rPr>
      </w:pPr>
      <w:r w:rsidRPr="0008257C">
        <w:rPr>
          <w:lang w:val="en-GB"/>
        </w:rPr>
        <w:t>The contractor supports the client with adhering to the obligations, as outlined in Art. 32 to 36 GDPR (data security, notification of a personal data breach to the supervisory authority, communication of a personal data breach to the data subject, data protection impact assessment, prior consultation).</w:t>
      </w:r>
    </w:p>
    <w:p w14:paraId="47BBEBD2" w14:textId="77777777" w:rsidR="004E1D88" w:rsidRPr="0008257C" w:rsidRDefault="004E1D88" w:rsidP="004E1D88">
      <w:pPr>
        <w:pStyle w:val="Listenabsatz"/>
        <w:numPr>
          <w:ilvl w:val="0"/>
          <w:numId w:val="11"/>
        </w:numPr>
        <w:spacing w:line="240" w:lineRule="auto"/>
        <w:ind w:left="426" w:hanging="426"/>
        <w:rPr>
          <w:lang w:val="en-GB"/>
        </w:rPr>
      </w:pPr>
      <w:r w:rsidRPr="0008257C">
        <w:rPr>
          <w:lang w:val="en-GB"/>
        </w:rPr>
        <w:t>The contractor is made aware, that he must maintain a record of processing activities for the data processing in question in accordance with Art. 30 GDPR.</w:t>
      </w:r>
    </w:p>
    <w:p w14:paraId="0F52BDF2" w14:textId="77777777" w:rsidR="004E1D88" w:rsidRPr="0008257C" w:rsidRDefault="004E1D88" w:rsidP="004E1D88">
      <w:pPr>
        <w:pStyle w:val="Listenabsatz"/>
        <w:numPr>
          <w:ilvl w:val="0"/>
          <w:numId w:val="11"/>
        </w:numPr>
        <w:spacing w:line="240" w:lineRule="auto"/>
        <w:ind w:left="426" w:hanging="426"/>
        <w:rPr>
          <w:lang w:val="en-GB"/>
        </w:rPr>
      </w:pPr>
      <w:proofErr w:type="gramStart"/>
      <w:r w:rsidRPr="0008257C">
        <w:rPr>
          <w:lang w:val="en-GB"/>
        </w:rPr>
        <w:t>With regard to</w:t>
      </w:r>
      <w:proofErr w:type="gramEnd"/>
      <w:r w:rsidRPr="0008257C">
        <w:rPr>
          <w:lang w:val="en-GB"/>
        </w:rPr>
        <w:t xml:space="preserve"> the provided data, the client is entitled to view and check the data processing facilities at any time, whether in person or via a commissioned third party.  The contractor is obligated to provide the client with all necessary information to monitor the compliance with the obligations as outlined in this agreement.</w:t>
      </w:r>
    </w:p>
    <w:p w14:paraId="744D9A8B" w14:textId="77777777" w:rsidR="004E1D88" w:rsidRPr="0008257C" w:rsidRDefault="004E1D88" w:rsidP="004E1D88">
      <w:pPr>
        <w:pStyle w:val="Listenabsatz"/>
        <w:numPr>
          <w:ilvl w:val="0"/>
          <w:numId w:val="11"/>
        </w:numPr>
        <w:spacing w:line="240" w:lineRule="auto"/>
        <w:ind w:left="426" w:hanging="426"/>
        <w:rPr>
          <w:lang w:val="en-GB"/>
        </w:rPr>
      </w:pPr>
      <w:r w:rsidRPr="0008257C">
        <w:rPr>
          <w:lang w:val="en-GB"/>
        </w:rPr>
        <w:t>Following the termination of this agreement, the contractor is obligated to forward to the client or destroy, at his request, all processing results and documents that contain data</w:t>
      </w:r>
      <w:r w:rsidRPr="0008257C">
        <w:rPr>
          <w:rStyle w:val="Funotenzeichen"/>
          <w:lang w:val="en-GB"/>
        </w:rPr>
        <w:footnoteReference w:id="2"/>
      </w:r>
      <w:r w:rsidRPr="0008257C">
        <w:rPr>
          <w:lang w:val="en-GB"/>
        </w:rPr>
        <w:t>. If the contractor should process the data in a unique, technical format then he is obligated to submit the data in this format, or, if requested by the client, in the format in which he received the data from the client or in another, common format, following the termination of this agreement.</w:t>
      </w:r>
    </w:p>
    <w:p w14:paraId="602EB816" w14:textId="77777777" w:rsidR="004E1D88" w:rsidRPr="0008257C" w:rsidRDefault="004E1D88" w:rsidP="004E1D88">
      <w:pPr>
        <w:pStyle w:val="Listenabsatz"/>
        <w:numPr>
          <w:ilvl w:val="0"/>
          <w:numId w:val="11"/>
        </w:numPr>
        <w:spacing w:line="240" w:lineRule="auto"/>
        <w:ind w:left="426"/>
        <w:rPr>
          <w:lang w:val="en-GB"/>
        </w:rPr>
      </w:pPr>
      <w:r w:rsidRPr="0008257C">
        <w:rPr>
          <w:lang w:val="en-GB"/>
        </w:rPr>
        <w:t xml:space="preserve">The contractor must inform the client immediately, if he is of the opinion that an instruction of the client constitutes a violation of the data protection regulations of the Union or of the Member States. </w:t>
      </w:r>
    </w:p>
    <w:p w14:paraId="7B590BEA" w14:textId="77777777" w:rsidR="004E1D88" w:rsidRPr="0008257C" w:rsidRDefault="004E1D88" w:rsidP="004E1D88">
      <w:pPr>
        <w:rPr>
          <w:b/>
          <w:caps/>
          <w:kern w:val="28"/>
          <w:szCs w:val="22"/>
          <w:lang w:val="en-GB"/>
        </w:rPr>
      </w:pPr>
      <w:r w:rsidRPr="0008257C">
        <w:rPr>
          <w:lang w:val="en-GB"/>
        </w:rPr>
        <w:br w:type="page"/>
      </w:r>
    </w:p>
    <w:p w14:paraId="222B0DBD" w14:textId="7F430E25" w:rsidR="004E1D88" w:rsidRPr="0008257C" w:rsidRDefault="004E1D88" w:rsidP="004E1D88">
      <w:pPr>
        <w:pStyle w:val="berschrift1"/>
        <w:pageBreakBefore w:val="0"/>
        <w:numPr>
          <w:ilvl w:val="0"/>
          <w:numId w:val="12"/>
        </w:numPr>
        <w:suppressAutoHyphens/>
        <w:spacing w:after="0" w:line="240" w:lineRule="auto"/>
        <w:ind w:left="284" w:hanging="284"/>
        <w:rPr>
          <w:rFonts w:ascii="Trebuchet MS" w:hAnsi="Trebuchet MS"/>
          <w:sz w:val="22"/>
          <w:szCs w:val="22"/>
          <w:lang w:val="en-GB"/>
        </w:rPr>
      </w:pPr>
      <w:r w:rsidRPr="0008257C">
        <w:rPr>
          <w:rFonts w:ascii="Trebuchet MS" w:hAnsi="Trebuchet MS"/>
          <w:sz w:val="22"/>
          <w:lang w:val="en-GB"/>
        </w:rPr>
        <w:lastRenderedPageBreak/>
        <w:t>Place of performance of data processing</w:t>
      </w:r>
    </w:p>
    <w:p w14:paraId="68BADDB4" w14:textId="77777777" w:rsidR="004E1D88" w:rsidRPr="0008257C" w:rsidRDefault="004E1D88" w:rsidP="004E1D88">
      <w:pPr>
        <w:rPr>
          <w:lang w:val="en-GB"/>
        </w:rPr>
      </w:pPr>
    </w:p>
    <w:p w14:paraId="63D83E9F" w14:textId="77306102" w:rsidR="004E1D88" w:rsidRPr="00656E2C" w:rsidRDefault="004E1D88" w:rsidP="004E1D88">
      <w:pPr>
        <w:rPr>
          <w:lang w:val="en-GB"/>
        </w:rPr>
      </w:pPr>
      <w:r w:rsidRPr="0008257C">
        <w:rPr>
          <w:lang w:val="en-GB"/>
        </w:rPr>
        <w:t xml:space="preserve">All data processing is exclusively </w:t>
      </w:r>
      <w:r w:rsidRPr="00656E2C">
        <w:rPr>
          <w:lang w:val="en-GB"/>
        </w:rPr>
        <w:t>executed</w:t>
      </w:r>
      <w:r w:rsidR="00656E2C" w:rsidRPr="00656E2C">
        <w:rPr>
          <w:lang w:val="en-GB"/>
        </w:rPr>
        <w:t xml:space="preserve"> </w:t>
      </w:r>
      <w:r w:rsidR="0006089B" w:rsidRPr="00656E2C">
        <w:rPr>
          <w:lang w:val="en-GB"/>
        </w:rPr>
        <w:t>in Austria</w:t>
      </w:r>
      <w:r w:rsidRPr="00656E2C">
        <w:rPr>
          <w:lang w:val="en-GB"/>
        </w:rPr>
        <w:t>.</w:t>
      </w:r>
    </w:p>
    <w:p w14:paraId="2C2B75DB" w14:textId="77777777" w:rsidR="004E1D88" w:rsidRPr="0008257C" w:rsidRDefault="004E1D88" w:rsidP="004E1D88">
      <w:pPr>
        <w:pStyle w:val="Listenabsatz"/>
        <w:spacing w:line="240" w:lineRule="auto"/>
        <w:rPr>
          <w:lang w:val="en-GB"/>
        </w:rPr>
      </w:pPr>
    </w:p>
    <w:p w14:paraId="1A552582" w14:textId="77777777" w:rsidR="004E1D88" w:rsidRPr="0008257C" w:rsidRDefault="004E1D88" w:rsidP="004E1D88">
      <w:pPr>
        <w:pStyle w:val="berschrift1"/>
        <w:pageBreakBefore w:val="0"/>
        <w:numPr>
          <w:ilvl w:val="0"/>
          <w:numId w:val="12"/>
        </w:numPr>
        <w:suppressAutoHyphens/>
        <w:spacing w:after="0" w:line="240" w:lineRule="auto"/>
        <w:ind w:left="284" w:hanging="284"/>
        <w:rPr>
          <w:rFonts w:ascii="Trebuchet MS" w:hAnsi="Trebuchet MS"/>
          <w:sz w:val="22"/>
          <w:szCs w:val="22"/>
          <w:lang w:val="en-GB"/>
        </w:rPr>
      </w:pPr>
      <w:r w:rsidRPr="0008257C">
        <w:rPr>
          <w:rFonts w:ascii="Trebuchet MS" w:hAnsi="Trebuchet MS"/>
          <w:sz w:val="22"/>
          <w:lang w:val="en-GB"/>
        </w:rPr>
        <w:t>sub-Processors</w:t>
      </w:r>
      <w:r w:rsidRPr="0008257C">
        <w:rPr>
          <w:rStyle w:val="Funotenzeichen"/>
          <w:rFonts w:ascii="Trebuchet MS" w:hAnsi="Trebuchet MS"/>
          <w:sz w:val="22"/>
          <w:lang w:val="en-GB"/>
        </w:rPr>
        <w:footnoteReference w:id="3"/>
      </w:r>
    </w:p>
    <w:p w14:paraId="4F8CA2A0" w14:textId="77777777" w:rsidR="004E1D88" w:rsidRPr="0008257C" w:rsidRDefault="004E1D88" w:rsidP="004E1D88">
      <w:pPr>
        <w:rPr>
          <w:lang w:val="en-GB"/>
        </w:rPr>
      </w:pPr>
    </w:p>
    <w:p w14:paraId="6147A904" w14:textId="77777777" w:rsidR="004E1D88" w:rsidRPr="0008257C" w:rsidRDefault="004E1D88" w:rsidP="004E1D88">
      <w:pPr>
        <w:rPr>
          <w:lang w:val="en-GB"/>
        </w:rPr>
      </w:pPr>
      <w:r w:rsidRPr="0008257C">
        <w:rPr>
          <w:u w:val="single"/>
          <w:lang w:val="en-GB"/>
        </w:rPr>
        <w:t>{Prohibition on engaging a sub-processor}</w:t>
      </w:r>
      <w:r w:rsidRPr="0008257C">
        <w:rPr>
          <w:lang w:val="en-GB"/>
        </w:rPr>
        <w:t xml:space="preserve"> The contractor is not allowed to engage a sub-processor.</w:t>
      </w:r>
    </w:p>
    <w:p w14:paraId="152BF6F1" w14:textId="77777777" w:rsidR="004E1D88" w:rsidRPr="0008257C" w:rsidRDefault="004E1D88" w:rsidP="004E1D88">
      <w:pPr>
        <w:spacing w:before="120"/>
        <w:rPr>
          <w:lang w:val="en-GB"/>
        </w:rPr>
      </w:pPr>
      <w:r w:rsidRPr="0008257C">
        <w:rPr>
          <w:u w:val="single"/>
          <w:lang w:val="en-GB"/>
        </w:rPr>
        <w:t>{Admissibility of engaging a specific sub-processor}</w:t>
      </w:r>
      <w:r w:rsidRPr="0008257C">
        <w:rPr>
          <w:lang w:val="en-GB"/>
        </w:rPr>
        <w:t xml:space="preserve"> The contractor is entitled to engage the following company as a sub-processor: [</w:t>
      </w:r>
      <w:r w:rsidRPr="0008257C">
        <w:rPr>
          <w:i/>
          <w:lang w:val="en-GB"/>
        </w:rPr>
        <w:t>edit company name and location, type of activity</w:t>
      </w:r>
      <w:r w:rsidRPr="0008257C">
        <w:rPr>
          <w:lang w:val="en-GB"/>
        </w:rPr>
        <w:t xml:space="preserve">]. </w:t>
      </w:r>
    </w:p>
    <w:p w14:paraId="52AD3206" w14:textId="77777777" w:rsidR="004E1D88" w:rsidRPr="0008257C" w:rsidRDefault="004E1D88" w:rsidP="004E1D88">
      <w:pPr>
        <w:rPr>
          <w:lang w:val="en-GB"/>
        </w:rPr>
      </w:pPr>
      <w:r w:rsidRPr="0008257C">
        <w:rPr>
          <w:lang w:val="en-GB"/>
        </w:rPr>
        <w:t xml:space="preserve">Intended changes of the sub-processor are to be communicated to the client in such a timely manner, that the latter can forbid it. The contractor </w:t>
      </w:r>
      <w:proofErr w:type="gramStart"/>
      <w:r w:rsidRPr="0008257C">
        <w:rPr>
          <w:lang w:val="en-GB"/>
        </w:rPr>
        <w:t>enters into</w:t>
      </w:r>
      <w:proofErr w:type="gramEnd"/>
      <w:r w:rsidRPr="0008257C">
        <w:rPr>
          <w:lang w:val="en-GB"/>
        </w:rPr>
        <w:t xml:space="preserve"> an arrangement with the sub-processor in accordance with Art. 28 para. 4 GDPR. In doing so, he must ensure that the sub-processor adheres to the same obligations as the contractor, </w:t>
      </w:r>
      <w:proofErr w:type="gramStart"/>
      <w:r w:rsidRPr="0008257C">
        <w:rPr>
          <w:lang w:val="en-GB"/>
        </w:rPr>
        <w:t>with regard to</w:t>
      </w:r>
      <w:proofErr w:type="gramEnd"/>
      <w:r w:rsidRPr="0008257C">
        <w:rPr>
          <w:lang w:val="en-GB"/>
        </w:rPr>
        <w:t xml:space="preserve"> this agreement. Should the sub-processor not comply with his data protection obligations, then the contractor is liable vis-a-vis the client for the compliance with obligations of the sub-processor.</w:t>
      </w:r>
    </w:p>
    <w:p w14:paraId="5964EC0A" w14:textId="77777777" w:rsidR="004E1D88" w:rsidRPr="0008257C" w:rsidRDefault="004E1D88" w:rsidP="004E1D88">
      <w:pPr>
        <w:spacing w:before="120"/>
        <w:rPr>
          <w:lang w:val="en-GB"/>
        </w:rPr>
      </w:pPr>
      <w:r w:rsidRPr="0008257C">
        <w:rPr>
          <w:u w:val="single"/>
          <w:lang w:val="en-GB"/>
        </w:rPr>
        <w:t>{Admissibility of engaging sub-processors}</w:t>
      </w:r>
      <w:r w:rsidRPr="0008257C">
        <w:rPr>
          <w:lang w:val="en-GB"/>
        </w:rPr>
        <w:t xml:space="preserve"> The contractor can employ sub-processors for [</w:t>
      </w:r>
      <w:r w:rsidRPr="0008257C">
        <w:rPr>
          <w:i/>
          <w:lang w:val="en-GB"/>
        </w:rPr>
        <w:t>activities</w:t>
      </w:r>
      <w:r w:rsidRPr="0008257C">
        <w:rPr>
          <w:lang w:val="en-GB"/>
        </w:rPr>
        <w:t xml:space="preserve">]. </w:t>
      </w:r>
    </w:p>
    <w:p w14:paraId="0FC03000" w14:textId="77777777" w:rsidR="004E1D88" w:rsidRPr="0008257C" w:rsidRDefault="004E1D88" w:rsidP="004E1D88">
      <w:pPr>
        <w:rPr>
          <w:lang w:val="en-GB"/>
        </w:rPr>
      </w:pPr>
      <w:r w:rsidRPr="0008257C">
        <w:rPr>
          <w:lang w:val="en-GB"/>
        </w:rPr>
        <w:t xml:space="preserve">He must inform the client of the planned use of a sub-processor in such a timely manner, that the client can forbid it. The contractor </w:t>
      </w:r>
      <w:proofErr w:type="gramStart"/>
      <w:r w:rsidRPr="0008257C">
        <w:rPr>
          <w:lang w:val="en-GB"/>
        </w:rPr>
        <w:t>enters into</w:t>
      </w:r>
      <w:proofErr w:type="gramEnd"/>
      <w:r w:rsidRPr="0008257C">
        <w:rPr>
          <w:lang w:val="en-GB"/>
        </w:rPr>
        <w:t xml:space="preserve"> an arrangement with the sub-processor in accordance with Art. 28 para. 4 GDPR. In doing so, he must ensure that the sub-processor adheres to the same obligations as the contractor, </w:t>
      </w:r>
      <w:proofErr w:type="gramStart"/>
      <w:r w:rsidRPr="0008257C">
        <w:rPr>
          <w:lang w:val="en-GB"/>
        </w:rPr>
        <w:t>with regard to</w:t>
      </w:r>
      <w:proofErr w:type="gramEnd"/>
      <w:r w:rsidRPr="0008257C">
        <w:rPr>
          <w:lang w:val="en-GB"/>
        </w:rPr>
        <w:t xml:space="preserve"> this agreement. Should the sub-processor not comply with his data protection obligations, then the contractor is liable vis-a-vis the client for the compliance with obligations of the sub-processor.</w:t>
      </w:r>
    </w:p>
    <w:p w14:paraId="5AFE26D9" w14:textId="77777777" w:rsidR="004E1D88" w:rsidRPr="0008257C" w:rsidRDefault="004E1D88" w:rsidP="004E1D88">
      <w:pPr>
        <w:rPr>
          <w:lang w:val="en-GB"/>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4E1D88" w:rsidRPr="0008257C" w14:paraId="547F662F" w14:textId="77777777" w:rsidTr="00AB5A28">
        <w:trPr>
          <w:trHeight w:val="585"/>
          <w:jc w:val="center"/>
        </w:trPr>
        <w:tc>
          <w:tcPr>
            <w:tcW w:w="4474" w:type="dxa"/>
          </w:tcPr>
          <w:p w14:paraId="63252B2C" w14:textId="4D0FA927" w:rsidR="004E1D88" w:rsidRPr="0008257C" w:rsidRDefault="004E1D88" w:rsidP="00AB5A28">
            <w:pPr>
              <w:rPr>
                <w:lang w:val="en-GB"/>
              </w:rPr>
            </w:pPr>
          </w:p>
          <w:p w14:paraId="23F616BF" w14:textId="77777777" w:rsidR="004E1D88" w:rsidRPr="0008257C" w:rsidRDefault="004E1D88" w:rsidP="00AB5A28">
            <w:pPr>
              <w:rPr>
                <w:lang w:val="en-GB"/>
              </w:rPr>
            </w:pPr>
            <w:r w:rsidRPr="0008257C">
              <w:rPr>
                <w:lang w:val="en-GB"/>
              </w:rPr>
              <w:t>[</w:t>
            </w:r>
            <w:r w:rsidRPr="0008257C">
              <w:rPr>
                <w:i/>
                <w:lang w:val="en-GB"/>
              </w:rPr>
              <w:t>place</w:t>
            </w:r>
            <w:r w:rsidRPr="0008257C">
              <w:rPr>
                <w:lang w:val="en-GB"/>
              </w:rPr>
              <w:t>], on [</w:t>
            </w:r>
            <w:r w:rsidRPr="0008257C">
              <w:rPr>
                <w:i/>
                <w:lang w:val="en-GB"/>
              </w:rPr>
              <w:t>date</w:t>
            </w:r>
            <w:r w:rsidRPr="0008257C">
              <w:rPr>
                <w:lang w:val="en-GB"/>
              </w:rPr>
              <w:t>]</w:t>
            </w:r>
          </w:p>
        </w:tc>
        <w:tc>
          <w:tcPr>
            <w:tcW w:w="725" w:type="dxa"/>
          </w:tcPr>
          <w:p w14:paraId="32D3561C" w14:textId="77777777" w:rsidR="004E1D88" w:rsidRPr="0008257C" w:rsidRDefault="004E1D88" w:rsidP="00AB5A28">
            <w:pPr>
              <w:rPr>
                <w:lang w:val="en-GB"/>
              </w:rPr>
            </w:pPr>
          </w:p>
        </w:tc>
        <w:tc>
          <w:tcPr>
            <w:tcW w:w="4822" w:type="dxa"/>
          </w:tcPr>
          <w:p w14:paraId="709B36E7" w14:textId="77777777" w:rsidR="004E1D88" w:rsidRPr="0008257C" w:rsidRDefault="004E1D88" w:rsidP="00AB5A28">
            <w:pPr>
              <w:rPr>
                <w:lang w:val="en-GB"/>
              </w:rPr>
            </w:pPr>
          </w:p>
          <w:p w14:paraId="0D9627BE" w14:textId="77777777" w:rsidR="004E1D88" w:rsidRPr="0008257C" w:rsidRDefault="004E1D88" w:rsidP="00AB5A28">
            <w:pPr>
              <w:rPr>
                <w:lang w:val="en-GB"/>
              </w:rPr>
            </w:pPr>
            <w:r w:rsidRPr="0008257C">
              <w:rPr>
                <w:lang w:val="en-GB"/>
              </w:rPr>
              <w:t>[</w:t>
            </w:r>
            <w:r w:rsidRPr="0008257C">
              <w:rPr>
                <w:i/>
                <w:lang w:val="en-GB"/>
              </w:rPr>
              <w:t>place</w:t>
            </w:r>
            <w:r w:rsidRPr="0008257C">
              <w:rPr>
                <w:lang w:val="en-GB"/>
              </w:rPr>
              <w:t>], on [</w:t>
            </w:r>
            <w:r w:rsidRPr="0008257C">
              <w:rPr>
                <w:i/>
                <w:lang w:val="en-GB"/>
              </w:rPr>
              <w:t>date</w:t>
            </w:r>
            <w:r w:rsidRPr="0008257C">
              <w:rPr>
                <w:lang w:val="en-GB"/>
              </w:rPr>
              <w:t>]</w:t>
            </w:r>
          </w:p>
        </w:tc>
      </w:tr>
      <w:tr w:rsidR="004E1D88" w:rsidRPr="0008257C" w14:paraId="14BDB206" w14:textId="77777777" w:rsidTr="00AB5A28">
        <w:trPr>
          <w:trHeight w:val="731"/>
          <w:jc w:val="center"/>
        </w:trPr>
        <w:tc>
          <w:tcPr>
            <w:tcW w:w="4474" w:type="dxa"/>
          </w:tcPr>
          <w:p w14:paraId="368001D3" w14:textId="77777777" w:rsidR="004E1D88" w:rsidRPr="0008257C" w:rsidRDefault="004E1D88" w:rsidP="00AB5A28">
            <w:pPr>
              <w:rPr>
                <w:i/>
                <w:lang w:val="en-GB"/>
              </w:rPr>
            </w:pPr>
          </w:p>
          <w:p w14:paraId="67D2D2F1" w14:textId="77777777" w:rsidR="004E1D88" w:rsidRPr="0008257C" w:rsidRDefault="004E1D88" w:rsidP="00AB5A28">
            <w:pPr>
              <w:rPr>
                <w:i/>
                <w:lang w:val="en-GB"/>
              </w:rPr>
            </w:pPr>
            <w:r w:rsidRPr="0008257C">
              <w:rPr>
                <w:i/>
                <w:lang w:val="en-GB"/>
              </w:rPr>
              <w:t>For the client:</w:t>
            </w:r>
          </w:p>
        </w:tc>
        <w:tc>
          <w:tcPr>
            <w:tcW w:w="725" w:type="dxa"/>
          </w:tcPr>
          <w:p w14:paraId="1DF358D8" w14:textId="77777777" w:rsidR="004E1D88" w:rsidRPr="0008257C" w:rsidRDefault="004E1D88" w:rsidP="00AB5A28">
            <w:pPr>
              <w:rPr>
                <w:i/>
                <w:lang w:val="en-GB"/>
              </w:rPr>
            </w:pPr>
          </w:p>
        </w:tc>
        <w:tc>
          <w:tcPr>
            <w:tcW w:w="4822" w:type="dxa"/>
          </w:tcPr>
          <w:p w14:paraId="1BA42286" w14:textId="77777777" w:rsidR="004E1D88" w:rsidRPr="0008257C" w:rsidRDefault="004E1D88" w:rsidP="00AB5A28">
            <w:pPr>
              <w:rPr>
                <w:i/>
                <w:lang w:val="en-GB"/>
              </w:rPr>
            </w:pPr>
          </w:p>
          <w:p w14:paraId="02CD302C" w14:textId="77777777" w:rsidR="004E1D88" w:rsidRPr="0008257C" w:rsidRDefault="004E1D88" w:rsidP="00AB5A28">
            <w:pPr>
              <w:rPr>
                <w:i/>
                <w:lang w:val="en-GB"/>
              </w:rPr>
            </w:pPr>
            <w:r w:rsidRPr="0008257C">
              <w:rPr>
                <w:i/>
                <w:lang w:val="en-GB"/>
              </w:rPr>
              <w:t>For the contractor:</w:t>
            </w:r>
          </w:p>
        </w:tc>
      </w:tr>
      <w:tr w:rsidR="004E1D88" w:rsidRPr="0008257C" w14:paraId="4A76FD2A" w14:textId="77777777" w:rsidTr="00AB5A28">
        <w:trPr>
          <w:trHeight w:val="83"/>
          <w:jc w:val="center"/>
        </w:trPr>
        <w:tc>
          <w:tcPr>
            <w:tcW w:w="4474" w:type="dxa"/>
          </w:tcPr>
          <w:p w14:paraId="4C633FD6" w14:textId="77777777" w:rsidR="004E1D88" w:rsidRPr="0008257C" w:rsidRDefault="004E1D88" w:rsidP="00AB5A28">
            <w:pPr>
              <w:rPr>
                <w:lang w:val="en-GB"/>
              </w:rPr>
            </w:pPr>
          </w:p>
          <w:p w14:paraId="1694D34E" w14:textId="77777777" w:rsidR="004E1D88" w:rsidRPr="0008257C" w:rsidRDefault="004E1D88" w:rsidP="00AB5A28">
            <w:pPr>
              <w:rPr>
                <w:lang w:val="en-GB"/>
              </w:rPr>
            </w:pPr>
          </w:p>
          <w:p w14:paraId="1AADCFFA" w14:textId="77777777" w:rsidR="004E1D88" w:rsidRPr="0008257C" w:rsidRDefault="004E1D88" w:rsidP="00AB5A28">
            <w:pPr>
              <w:rPr>
                <w:lang w:val="en-GB"/>
              </w:rPr>
            </w:pPr>
          </w:p>
          <w:p w14:paraId="25A3E997" w14:textId="77777777" w:rsidR="004E1D88" w:rsidRPr="0008257C" w:rsidRDefault="004E1D88" w:rsidP="00AB5A28">
            <w:pPr>
              <w:rPr>
                <w:lang w:val="en-GB"/>
              </w:rPr>
            </w:pPr>
          </w:p>
          <w:p w14:paraId="1C45180E" w14:textId="77777777" w:rsidR="004E1D88" w:rsidRPr="0008257C" w:rsidRDefault="004E1D88" w:rsidP="00AB5A28">
            <w:pPr>
              <w:rPr>
                <w:lang w:val="en-GB"/>
              </w:rPr>
            </w:pPr>
          </w:p>
          <w:p w14:paraId="21B88E88" w14:textId="77777777" w:rsidR="004E1D88" w:rsidRPr="0008257C" w:rsidRDefault="004E1D88" w:rsidP="00AB5A28">
            <w:pPr>
              <w:rPr>
                <w:lang w:val="en-GB"/>
              </w:rPr>
            </w:pPr>
          </w:p>
          <w:p w14:paraId="4040A8C9" w14:textId="77777777" w:rsidR="004E1D88" w:rsidRPr="0008257C" w:rsidRDefault="004E1D88" w:rsidP="00AB5A28">
            <w:pPr>
              <w:rPr>
                <w:lang w:val="en-GB"/>
              </w:rPr>
            </w:pPr>
            <w:r w:rsidRPr="0008257C">
              <w:rPr>
                <w:lang w:val="en-GB"/>
              </w:rPr>
              <w:t>....................................................</w:t>
            </w:r>
          </w:p>
          <w:p w14:paraId="0B97F566" w14:textId="77777777" w:rsidR="004E1D88" w:rsidRPr="0008257C" w:rsidRDefault="004E1D88" w:rsidP="00AB5A28">
            <w:pPr>
              <w:rPr>
                <w:lang w:val="en-GB"/>
              </w:rPr>
            </w:pPr>
            <w:r w:rsidRPr="0008257C">
              <w:rPr>
                <w:lang w:val="en-GB"/>
              </w:rPr>
              <w:t>[Name and function]</w:t>
            </w:r>
          </w:p>
        </w:tc>
        <w:tc>
          <w:tcPr>
            <w:tcW w:w="725" w:type="dxa"/>
          </w:tcPr>
          <w:p w14:paraId="5FADFD61" w14:textId="77777777" w:rsidR="004E1D88" w:rsidRPr="0008257C" w:rsidRDefault="004E1D88" w:rsidP="00AB5A28">
            <w:pPr>
              <w:rPr>
                <w:lang w:val="en-GB"/>
              </w:rPr>
            </w:pPr>
          </w:p>
        </w:tc>
        <w:tc>
          <w:tcPr>
            <w:tcW w:w="4822" w:type="dxa"/>
          </w:tcPr>
          <w:p w14:paraId="30DE5C57" w14:textId="77777777" w:rsidR="004E1D88" w:rsidRPr="0008257C" w:rsidRDefault="004E1D88" w:rsidP="00AB5A28">
            <w:pPr>
              <w:rPr>
                <w:lang w:val="en-GB"/>
              </w:rPr>
            </w:pPr>
          </w:p>
          <w:p w14:paraId="5D8930DF" w14:textId="77777777" w:rsidR="004E1D88" w:rsidRPr="0008257C" w:rsidRDefault="004E1D88" w:rsidP="00AB5A28">
            <w:pPr>
              <w:rPr>
                <w:lang w:val="en-GB"/>
              </w:rPr>
            </w:pPr>
          </w:p>
          <w:p w14:paraId="0143062D" w14:textId="77777777" w:rsidR="004E1D88" w:rsidRPr="0008257C" w:rsidRDefault="004E1D88" w:rsidP="00AB5A28">
            <w:pPr>
              <w:rPr>
                <w:lang w:val="en-GB"/>
              </w:rPr>
            </w:pPr>
          </w:p>
          <w:p w14:paraId="0350AA18" w14:textId="77777777" w:rsidR="004E1D88" w:rsidRPr="0008257C" w:rsidRDefault="004E1D88" w:rsidP="00AB5A28">
            <w:pPr>
              <w:rPr>
                <w:lang w:val="en-GB"/>
              </w:rPr>
            </w:pPr>
          </w:p>
          <w:p w14:paraId="489A019C" w14:textId="77777777" w:rsidR="004E1D88" w:rsidRPr="0008257C" w:rsidRDefault="004E1D88" w:rsidP="00AB5A28">
            <w:pPr>
              <w:rPr>
                <w:lang w:val="en-GB"/>
              </w:rPr>
            </w:pPr>
          </w:p>
          <w:p w14:paraId="573C8710" w14:textId="77777777" w:rsidR="004E1D88" w:rsidRPr="0008257C" w:rsidRDefault="004E1D88" w:rsidP="00AB5A28">
            <w:pPr>
              <w:rPr>
                <w:lang w:val="en-GB"/>
              </w:rPr>
            </w:pPr>
          </w:p>
          <w:p w14:paraId="481643AF" w14:textId="77777777" w:rsidR="004E1D88" w:rsidRPr="0008257C" w:rsidRDefault="004E1D88" w:rsidP="00AB5A28">
            <w:pPr>
              <w:rPr>
                <w:lang w:val="en-GB"/>
              </w:rPr>
            </w:pPr>
            <w:r w:rsidRPr="0008257C">
              <w:rPr>
                <w:lang w:val="en-GB"/>
              </w:rPr>
              <w:t>....................................................</w:t>
            </w:r>
          </w:p>
          <w:p w14:paraId="192F665F" w14:textId="77777777" w:rsidR="004E1D88" w:rsidRPr="0008257C" w:rsidRDefault="004E1D88" w:rsidP="00AB5A28">
            <w:pPr>
              <w:rPr>
                <w:lang w:val="en-GB"/>
              </w:rPr>
            </w:pPr>
            <w:r w:rsidRPr="0008257C">
              <w:rPr>
                <w:lang w:val="en-GB"/>
              </w:rPr>
              <w:t>[Name and function]</w:t>
            </w:r>
          </w:p>
        </w:tc>
      </w:tr>
    </w:tbl>
    <w:p w14:paraId="78E13430" w14:textId="77777777" w:rsidR="004E1D88" w:rsidRPr="0008257C" w:rsidRDefault="004E1D88" w:rsidP="004E1D88">
      <w:pPr>
        <w:pStyle w:val="berschrift1"/>
        <w:ind w:left="397" w:hanging="397"/>
        <w:rPr>
          <w:rFonts w:ascii="Trebuchet MS" w:hAnsi="Trebuchet MS"/>
          <w:sz w:val="32"/>
          <w:szCs w:val="32"/>
          <w:lang w:val="en-GB"/>
        </w:rPr>
      </w:pPr>
      <w:proofErr w:type="gramStart"/>
      <w:r w:rsidRPr="0008257C">
        <w:rPr>
          <w:rFonts w:ascii="Trebuchet MS" w:hAnsi="Trebuchet MS"/>
          <w:sz w:val="32"/>
          <w:lang w:val="en-GB"/>
        </w:rPr>
        <w:lastRenderedPageBreak/>
        <w:t>Appendix .</w:t>
      </w:r>
      <w:proofErr w:type="gramEnd"/>
      <w:r w:rsidRPr="0008257C">
        <w:rPr>
          <w:rFonts w:ascii="Trebuchet MS" w:hAnsi="Trebuchet MS"/>
          <w:sz w:val="32"/>
          <w:lang w:val="en-GB"/>
        </w:rPr>
        <w:t>/1 - Technical-organiZational measures</w:t>
      </w:r>
      <w:r w:rsidRPr="0008257C">
        <w:rPr>
          <w:rStyle w:val="Funotenzeichen"/>
          <w:rFonts w:ascii="Trebuchet MS" w:hAnsi="Trebuchet MS"/>
          <w:sz w:val="32"/>
          <w:lang w:val="en-GB"/>
        </w:rPr>
        <w:footnoteReference w:id="4"/>
      </w:r>
    </w:p>
    <w:p w14:paraId="729C0441" w14:textId="77777777" w:rsidR="004E1D88" w:rsidRPr="0008257C" w:rsidRDefault="004E1D88" w:rsidP="004E1D88">
      <w:pPr>
        <w:pStyle w:val="berschrift2"/>
        <w:spacing w:before="0" w:after="0" w:line="240" w:lineRule="auto"/>
        <w:rPr>
          <w:rFonts w:ascii="Trebuchet MS" w:hAnsi="Trebuchet MS"/>
          <w:sz w:val="20"/>
          <w:szCs w:val="22"/>
          <w:lang w:val="en-GB"/>
        </w:rPr>
      </w:pPr>
      <w:r w:rsidRPr="0008257C">
        <w:rPr>
          <w:rFonts w:ascii="Trebuchet MS" w:hAnsi="Trebuchet MS"/>
          <w:sz w:val="20"/>
          <w:lang w:val="en-GB"/>
        </w:rPr>
        <w:t>A. Confidentiality</w:t>
      </w:r>
    </w:p>
    <w:p w14:paraId="665C2454" w14:textId="77777777" w:rsidR="004E1D88" w:rsidRPr="0008257C" w:rsidRDefault="004E1D88" w:rsidP="004E1D88">
      <w:pPr>
        <w:rPr>
          <w:sz w:val="20"/>
          <w:lang w:val="en-GB"/>
        </w:rPr>
      </w:pPr>
    </w:p>
    <w:p w14:paraId="77EA87F3" w14:textId="19E379D4" w:rsidR="004E1D88" w:rsidRPr="0008257C" w:rsidRDefault="004E1D88" w:rsidP="004E1D88">
      <w:pPr>
        <w:spacing w:line="240" w:lineRule="auto"/>
        <w:jc w:val="both"/>
        <w:rPr>
          <w:sz w:val="20"/>
          <w:lang w:val="en-GB"/>
        </w:rPr>
      </w:pPr>
      <w:r w:rsidRPr="0008257C">
        <w:rPr>
          <w:b/>
          <w:sz w:val="20"/>
          <w:lang w:val="en-GB"/>
        </w:rPr>
        <w:t xml:space="preserve">Entry control: </w:t>
      </w:r>
      <w:r w:rsidRPr="0008257C">
        <w:rPr>
          <w:sz w:val="20"/>
          <w:lang w:val="en-GB"/>
        </w:rPr>
        <w:t>Avoidance of unauthorized entry to data processing facilities</w:t>
      </w:r>
      <w:r w:rsidR="00091B54">
        <w:rPr>
          <w:sz w:val="20"/>
          <w:lang w:val="en-GB"/>
        </w:rPr>
        <w:t xml:space="preserve"> </w:t>
      </w:r>
      <w:r w:rsidRPr="0008257C">
        <w:rPr>
          <w:sz w:val="20"/>
          <w:lang w:val="en-GB"/>
        </w:rPr>
        <w:t>by:</w:t>
      </w:r>
    </w:p>
    <w:tbl>
      <w:tblPr>
        <w:tblStyle w:val="Tabellenraster1"/>
        <w:tblW w:w="0" w:type="auto"/>
        <w:tblLook w:val="04A0" w:firstRow="1" w:lastRow="0" w:firstColumn="1" w:lastColumn="0" w:noHBand="0" w:noVBand="1"/>
      </w:tblPr>
      <w:tblGrid>
        <w:gridCol w:w="4530"/>
        <w:gridCol w:w="4530"/>
      </w:tblGrid>
      <w:tr w:rsidR="004E1D88" w:rsidRPr="0008257C" w14:paraId="5E7EB2ED" w14:textId="77777777" w:rsidTr="00AB5A28">
        <w:tc>
          <w:tcPr>
            <w:tcW w:w="4531" w:type="dxa"/>
          </w:tcPr>
          <w:p w14:paraId="7B6E6285" w14:textId="77777777" w:rsidR="004E1D88" w:rsidRPr="0008257C" w:rsidRDefault="00CE2BC7" w:rsidP="00AB5A28">
            <w:pPr>
              <w:jc w:val="both"/>
              <w:rPr>
                <w:sz w:val="20"/>
                <w:lang w:val="en-GB"/>
              </w:rPr>
            </w:pPr>
            <w:sdt>
              <w:sdtPr>
                <w:rPr>
                  <w:sz w:val="20"/>
                  <w:lang w:val="en-GB"/>
                </w:rPr>
                <w:id w:val="1223332162"/>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Key</w:t>
            </w:r>
          </w:p>
        </w:tc>
        <w:tc>
          <w:tcPr>
            <w:tcW w:w="4531" w:type="dxa"/>
          </w:tcPr>
          <w:p w14:paraId="54C68239" w14:textId="77777777" w:rsidR="004E1D88" w:rsidRPr="0008257C" w:rsidRDefault="00CE2BC7" w:rsidP="00AB5A28">
            <w:pPr>
              <w:jc w:val="both"/>
              <w:rPr>
                <w:sz w:val="20"/>
                <w:lang w:val="en-GB"/>
              </w:rPr>
            </w:pPr>
            <w:sdt>
              <w:sdtPr>
                <w:rPr>
                  <w:sz w:val="20"/>
                  <w:lang w:val="en-GB"/>
                </w:rPr>
                <w:id w:val="-104118159"/>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Magnet or chip cards</w:t>
            </w:r>
          </w:p>
        </w:tc>
      </w:tr>
      <w:tr w:rsidR="004E1D88" w:rsidRPr="0008257C" w14:paraId="58FCEB7C" w14:textId="77777777" w:rsidTr="00AB5A28">
        <w:tc>
          <w:tcPr>
            <w:tcW w:w="4531" w:type="dxa"/>
          </w:tcPr>
          <w:p w14:paraId="3DA30F5B" w14:textId="77777777" w:rsidR="004E1D88" w:rsidRPr="0008257C" w:rsidRDefault="00CE2BC7" w:rsidP="00AB5A28">
            <w:pPr>
              <w:jc w:val="both"/>
              <w:rPr>
                <w:sz w:val="20"/>
                <w:lang w:val="en-GB"/>
              </w:rPr>
            </w:pPr>
            <w:sdt>
              <w:sdtPr>
                <w:rPr>
                  <w:sz w:val="20"/>
                  <w:lang w:val="en-GB"/>
                </w:rPr>
                <w:id w:val="1710920341"/>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Electric door opener</w:t>
            </w:r>
          </w:p>
        </w:tc>
        <w:tc>
          <w:tcPr>
            <w:tcW w:w="4531" w:type="dxa"/>
          </w:tcPr>
          <w:p w14:paraId="3390E70F" w14:textId="77777777" w:rsidR="004E1D88" w:rsidRPr="0008257C" w:rsidRDefault="00CE2BC7" w:rsidP="00AB5A28">
            <w:pPr>
              <w:jc w:val="both"/>
              <w:rPr>
                <w:sz w:val="20"/>
                <w:lang w:val="en-GB"/>
              </w:rPr>
            </w:pPr>
            <w:sdt>
              <w:sdtPr>
                <w:rPr>
                  <w:sz w:val="20"/>
                  <w:lang w:val="en-GB"/>
                </w:rPr>
                <w:id w:val="1161659162"/>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Doorman</w:t>
            </w:r>
          </w:p>
        </w:tc>
      </w:tr>
      <w:tr w:rsidR="004E1D88" w:rsidRPr="0008257C" w14:paraId="7BCA6E14" w14:textId="77777777" w:rsidTr="00AB5A28">
        <w:tc>
          <w:tcPr>
            <w:tcW w:w="4531" w:type="dxa"/>
          </w:tcPr>
          <w:p w14:paraId="79E2E75C" w14:textId="77777777" w:rsidR="004E1D88" w:rsidRPr="0008257C" w:rsidRDefault="00CE2BC7" w:rsidP="00AB5A28">
            <w:pPr>
              <w:jc w:val="both"/>
              <w:rPr>
                <w:sz w:val="20"/>
                <w:lang w:val="en-GB"/>
              </w:rPr>
            </w:pPr>
            <w:sdt>
              <w:sdtPr>
                <w:rPr>
                  <w:sz w:val="20"/>
                  <w:lang w:val="en-GB"/>
                </w:rPr>
                <w:id w:val="-543830416"/>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Security personnel</w:t>
            </w:r>
          </w:p>
        </w:tc>
        <w:tc>
          <w:tcPr>
            <w:tcW w:w="4531" w:type="dxa"/>
          </w:tcPr>
          <w:p w14:paraId="10D2A32B" w14:textId="77777777" w:rsidR="004E1D88" w:rsidRPr="0008257C" w:rsidRDefault="00CE2BC7" w:rsidP="00AB5A28">
            <w:pPr>
              <w:jc w:val="both"/>
              <w:rPr>
                <w:sz w:val="20"/>
                <w:lang w:val="en-GB"/>
              </w:rPr>
            </w:pPr>
            <w:sdt>
              <w:sdtPr>
                <w:rPr>
                  <w:sz w:val="20"/>
                  <w:lang w:val="en-GB"/>
                </w:rPr>
                <w:id w:val="428245026"/>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Alarm system</w:t>
            </w:r>
          </w:p>
        </w:tc>
      </w:tr>
      <w:tr w:rsidR="004E1D88" w:rsidRPr="00CE2BC7" w14:paraId="0540807F" w14:textId="77777777" w:rsidTr="00AB5A28">
        <w:tc>
          <w:tcPr>
            <w:tcW w:w="4531" w:type="dxa"/>
          </w:tcPr>
          <w:p w14:paraId="1FEDDDB8" w14:textId="77777777" w:rsidR="004E1D88" w:rsidRPr="0008257C" w:rsidRDefault="00CE2BC7" w:rsidP="00AB5A28">
            <w:pPr>
              <w:jc w:val="both"/>
              <w:rPr>
                <w:sz w:val="20"/>
                <w:lang w:val="en-GB"/>
              </w:rPr>
            </w:pPr>
            <w:sdt>
              <w:sdtPr>
                <w:rPr>
                  <w:sz w:val="20"/>
                  <w:lang w:val="en-GB"/>
                </w:rPr>
                <w:id w:val="-87001038"/>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Video system</w:t>
            </w:r>
          </w:p>
        </w:tc>
        <w:tc>
          <w:tcPr>
            <w:tcW w:w="4531" w:type="dxa"/>
          </w:tcPr>
          <w:p w14:paraId="035F976A" w14:textId="77777777" w:rsidR="004E1D88" w:rsidRPr="0008257C" w:rsidRDefault="00CE2BC7" w:rsidP="00AB5A28">
            <w:pPr>
              <w:rPr>
                <w:sz w:val="20"/>
                <w:lang w:val="en-GB"/>
              </w:rPr>
            </w:pPr>
            <w:sdt>
              <w:sdtPr>
                <w:rPr>
                  <w:sz w:val="20"/>
                  <w:lang w:val="en-GB"/>
                </w:rPr>
                <w:id w:val="-207963012"/>
                <w14:checkbox>
                  <w14:checked w14:val="0"/>
                  <w14:checkedState w14:val="2612" w14:font="MS Gothic"/>
                  <w14:uncheckedState w14:val="2610" w14:font="MS Gothic"/>
                </w14:checkbox>
              </w:sdtPr>
              <w:sdtEndPr/>
              <w:sdtContent>
                <w:r w:rsidR="00B0469C">
                  <w:rPr>
                    <w:rFonts w:ascii="MS Gothic" w:eastAsia="MS Gothic" w:hAnsi="MS Gothic" w:hint="eastAsia"/>
                    <w:sz w:val="20"/>
                    <w:lang w:val="en-GB"/>
                  </w:rPr>
                  <w:t>☐</w:t>
                </w:r>
              </w:sdtContent>
            </w:sdt>
            <w:r w:rsidR="004E1D88" w:rsidRPr="0008257C">
              <w:rPr>
                <w:sz w:val="20"/>
                <w:lang w:val="en-GB"/>
              </w:rPr>
              <w:t xml:space="preserve"> Burglary-restraining windows and/or safety doors</w:t>
            </w:r>
          </w:p>
        </w:tc>
      </w:tr>
      <w:tr w:rsidR="004E1D88" w:rsidRPr="00CE2BC7" w14:paraId="631D2A7E" w14:textId="77777777" w:rsidTr="00AB5A28">
        <w:tc>
          <w:tcPr>
            <w:tcW w:w="4531" w:type="dxa"/>
          </w:tcPr>
          <w:p w14:paraId="168E4A73" w14:textId="77777777" w:rsidR="004E1D88" w:rsidRPr="0008257C" w:rsidRDefault="00CE2BC7" w:rsidP="00AB5A28">
            <w:pPr>
              <w:jc w:val="both"/>
              <w:rPr>
                <w:sz w:val="20"/>
                <w:lang w:val="en-GB"/>
              </w:rPr>
            </w:pPr>
            <w:sdt>
              <w:sdtPr>
                <w:rPr>
                  <w:sz w:val="20"/>
                  <w:lang w:val="en-GB"/>
                </w:rPr>
                <w:id w:val="1267117939"/>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Registration at reception desk and identity check</w:t>
            </w:r>
          </w:p>
        </w:tc>
        <w:tc>
          <w:tcPr>
            <w:tcW w:w="4531" w:type="dxa"/>
          </w:tcPr>
          <w:p w14:paraId="6BCAEE19" w14:textId="77777777" w:rsidR="004E1D88" w:rsidRPr="0008257C" w:rsidRDefault="00CE2BC7" w:rsidP="00AB5A28">
            <w:pPr>
              <w:rPr>
                <w:sz w:val="20"/>
                <w:lang w:val="en-GB"/>
              </w:rPr>
            </w:pPr>
            <w:sdt>
              <w:sdtPr>
                <w:rPr>
                  <w:sz w:val="20"/>
                  <w:lang w:val="en-GB"/>
                </w:rPr>
                <w:id w:val="270054358"/>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Follow-up of visitors on company premises</w:t>
            </w:r>
          </w:p>
        </w:tc>
      </w:tr>
      <w:tr w:rsidR="004E1D88" w:rsidRPr="0008257C" w14:paraId="01E49ADF" w14:textId="77777777" w:rsidTr="00AB5A28">
        <w:tc>
          <w:tcPr>
            <w:tcW w:w="4531" w:type="dxa"/>
          </w:tcPr>
          <w:p w14:paraId="70F415E3" w14:textId="77777777" w:rsidR="004E1D88" w:rsidRPr="0008257C" w:rsidRDefault="00CE2BC7" w:rsidP="00AB5A28">
            <w:pPr>
              <w:jc w:val="both"/>
              <w:rPr>
                <w:sz w:val="20"/>
                <w:lang w:val="en-GB"/>
              </w:rPr>
            </w:pPr>
            <w:sdt>
              <w:sdtPr>
                <w:rPr>
                  <w:sz w:val="20"/>
                  <w:lang w:val="en-GB"/>
                </w:rPr>
                <w:id w:val="1884826545"/>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Use of visitor or staff card/ID</w:t>
            </w:r>
          </w:p>
        </w:tc>
        <w:tc>
          <w:tcPr>
            <w:tcW w:w="4531" w:type="dxa"/>
          </w:tcPr>
          <w:p w14:paraId="5EF897CE" w14:textId="77777777" w:rsidR="004E1D88" w:rsidRPr="0008257C" w:rsidRDefault="00CE2BC7" w:rsidP="00AB5A28">
            <w:pPr>
              <w:rPr>
                <w:sz w:val="20"/>
                <w:lang w:val="en-GB"/>
              </w:rPr>
            </w:pPr>
            <w:sdt>
              <w:sdtPr>
                <w:rPr>
                  <w:sz w:val="20"/>
                  <w:lang w:val="en-GB"/>
                </w:rPr>
                <w:id w:val="2077242893"/>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Other(s):</w:t>
            </w:r>
          </w:p>
        </w:tc>
      </w:tr>
    </w:tbl>
    <w:p w14:paraId="3A16191B" w14:textId="77777777" w:rsidR="004E1D88" w:rsidRPr="0008257C" w:rsidRDefault="004E1D88" w:rsidP="004E1D88">
      <w:pPr>
        <w:spacing w:line="240" w:lineRule="auto"/>
        <w:jc w:val="both"/>
        <w:rPr>
          <w:b/>
          <w:sz w:val="20"/>
          <w:lang w:val="en-GB"/>
        </w:rPr>
      </w:pPr>
    </w:p>
    <w:p w14:paraId="7CCDEE35" w14:textId="77777777" w:rsidR="004E1D88" w:rsidRPr="0008257C" w:rsidRDefault="004E1D88" w:rsidP="004E1D88">
      <w:pPr>
        <w:spacing w:line="240" w:lineRule="auto"/>
        <w:jc w:val="both"/>
        <w:rPr>
          <w:sz w:val="20"/>
          <w:lang w:val="en-GB"/>
        </w:rPr>
      </w:pPr>
      <w:r w:rsidRPr="0008257C">
        <w:rPr>
          <w:b/>
          <w:sz w:val="20"/>
          <w:lang w:val="en-GB"/>
        </w:rPr>
        <w:t>Access control:</w:t>
      </w:r>
      <w:r w:rsidRPr="0008257C">
        <w:rPr>
          <w:sz w:val="20"/>
          <w:lang w:val="en-GB"/>
        </w:rPr>
        <w:t xml:space="preserve"> </w:t>
      </w:r>
    </w:p>
    <w:p w14:paraId="03387074" w14:textId="77777777" w:rsidR="004E1D88" w:rsidRPr="0008257C" w:rsidRDefault="004E1D88" w:rsidP="004E1D88">
      <w:pPr>
        <w:spacing w:line="240" w:lineRule="auto"/>
        <w:jc w:val="both"/>
        <w:rPr>
          <w:sz w:val="20"/>
          <w:lang w:val="en-GB"/>
        </w:rPr>
      </w:pPr>
      <w:r w:rsidRPr="0008257C">
        <w:rPr>
          <w:sz w:val="20"/>
          <w:lang w:val="en-GB"/>
        </w:rPr>
        <w:t xml:space="preserve">Avoidance of unauthorized system usage through: </w:t>
      </w:r>
    </w:p>
    <w:tbl>
      <w:tblPr>
        <w:tblStyle w:val="Tabellenraster2"/>
        <w:tblW w:w="0" w:type="auto"/>
        <w:tblLook w:val="04A0" w:firstRow="1" w:lastRow="0" w:firstColumn="1" w:lastColumn="0" w:noHBand="0" w:noVBand="1"/>
      </w:tblPr>
      <w:tblGrid>
        <w:gridCol w:w="4530"/>
        <w:gridCol w:w="4530"/>
      </w:tblGrid>
      <w:tr w:rsidR="004E1D88" w:rsidRPr="0008257C" w14:paraId="3295C21D" w14:textId="77777777" w:rsidTr="00AB5A28">
        <w:tc>
          <w:tcPr>
            <w:tcW w:w="4531" w:type="dxa"/>
          </w:tcPr>
          <w:p w14:paraId="273EB5BC" w14:textId="77777777" w:rsidR="004E1D88" w:rsidRPr="0008257C" w:rsidRDefault="00CE2BC7" w:rsidP="00AB5A28">
            <w:pPr>
              <w:rPr>
                <w:sz w:val="20"/>
                <w:lang w:val="en-GB"/>
              </w:rPr>
            </w:pPr>
            <w:sdt>
              <w:sdtPr>
                <w:rPr>
                  <w:sz w:val="20"/>
                  <w:lang w:val="en-GB"/>
                </w:rPr>
                <w:id w:val="-568111093"/>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Password (including relevant policies)</w:t>
            </w:r>
          </w:p>
        </w:tc>
        <w:tc>
          <w:tcPr>
            <w:tcW w:w="4531" w:type="dxa"/>
          </w:tcPr>
          <w:p w14:paraId="2BCEAB7E" w14:textId="77777777" w:rsidR="004E1D88" w:rsidRPr="0008257C" w:rsidRDefault="00CE2BC7" w:rsidP="00AB5A28">
            <w:pPr>
              <w:jc w:val="both"/>
              <w:rPr>
                <w:sz w:val="20"/>
                <w:lang w:val="en-GB"/>
              </w:rPr>
            </w:pPr>
            <w:sdt>
              <w:sdtPr>
                <w:rPr>
                  <w:sz w:val="20"/>
                  <w:lang w:val="en-GB"/>
                </w:rPr>
                <w:id w:val="198284767"/>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Encryption of data carriers</w:t>
            </w:r>
          </w:p>
        </w:tc>
      </w:tr>
      <w:tr w:rsidR="004E1D88" w:rsidRPr="0008257C" w14:paraId="3AD1B65D" w14:textId="77777777" w:rsidTr="00AB5A28">
        <w:tc>
          <w:tcPr>
            <w:tcW w:w="4531" w:type="dxa"/>
          </w:tcPr>
          <w:p w14:paraId="364494FF" w14:textId="77777777" w:rsidR="004E1D88" w:rsidRPr="0008257C" w:rsidRDefault="00CE2BC7" w:rsidP="00AB5A28">
            <w:pPr>
              <w:jc w:val="both"/>
              <w:rPr>
                <w:sz w:val="20"/>
                <w:lang w:val="en-GB"/>
              </w:rPr>
            </w:pPr>
            <w:sdt>
              <w:sdtPr>
                <w:rPr>
                  <w:sz w:val="20"/>
                  <w:lang w:val="en-GB"/>
                </w:rPr>
                <w:id w:val="-88478391"/>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Automated locking mechanism</w:t>
            </w:r>
          </w:p>
        </w:tc>
        <w:tc>
          <w:tcPr>
            <w:tcW w:w="4531" w:type="dxa"/>
          </w:tcPr>
          <w:p w14:paraId="0014D8E7" w14:textId="77777777" w:rsidR="004E1D88" w:rsidRPr="0008257C" w:rsidRDefault="00CE2BC7" w:rsidP="00AB5A28">
            <w:pPr>
              <w:jc w:val="both"/>
              <w:rPr>
                <w:sz w:val="20"/>
                <w:lang w:val="en-GB"/>
              </w:rPr>
            </w:pPr>
            <w:sdt>
              <w:sdtPr>
                <w:rPr>
                  <w:sz w:val="20"/>
                  <w:lang w:val="en-GB"/>
                </w:rPr>
                <w:id w:val="-1131482640"/>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Other(s):</w:t>
            </w:r>
          </w:p>
        </w:tc>
      </w:tr>
      <w:tr w:rsidR="004E1D88" w:rsidRPr="0008257C" w14:paraId="582FA788" w14:textId="77777777" w:rsidTr="00AB5A28">
        <w:tc>
          <w:tcPr>
            <w:tcW w:w="4531" w:type="dxa"/>
          </w:tcPr>
          <w:p w14:paraId="1A4DDA37" w14:textId="77777777" w:rsidR="004E1D88" w:rsidRPr="0008257C" w:rsidRDefault="00CE2BC7" w:rsidP="00AB5A28">
            <w:pPr>
              <w:jc w:val="both"/>
              <w:rPr>
                <w:sz w:val="20"/>
                <w:lang w:val="en-GB"/>
              </w:rPr>
            </w:pPr>
            <w:sdt>
              <w:sdtPr>
                <w:rPr>
                  <w:sz w:val="20"/>
                  <w:lang w:val="en-GB"/>
                </w:rPr>
                <w:id w:val="875587250"/>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Two-factor authentication</w:t>
            </w:r>
          </w:p>
        </w:tc>
        <w:tc>
          <w:tcPr>
            <w:tcW w:w="4531" w:type="dxa"/>
          </w:tcPr>
          <w:p w14:paraId="37B93B95" w14:textId="77777777" w:rsidR="004E1D88" w:rsidRPr="0008257C" w:rsidRDefault="004E1D88" w:rsidP="00AB5A28">
            <w:pPr>
              <w:jc w:val="both"/>
              <w:rPr>
                <w:sz w:val="20"/>
                <w:lang w:val="en-GB"/>
              </w:rPr>
            </w:pPr>
          </w:p>
        </w:tc>
      </w:tr>
    </w:tbl>
    <w:p w14:paraId="373AF588" w14:textId="77777777" w:rsidR="004E1D88" w:rsidRPr="0008257C" w:rsidRDefault="004E1D88" w:rsidP="004E1D88">
      <w:pPr>
        <w:spacing w:line="240" w:lineRule="auto"/>
        <w:jc w:val="both"/>
        <w:rPr>
          <w:sz w:val="20"/>
          <w:lang w:val="en-GB"/>
        </w:rPr>
      </w:pPr>
    </w:p>
    <w:p w14:paraId="6BEA362C" w14:textId="77777777" w:rsidR="004E1D88" w:rsidRPr="0008257C" w:rsidRDefault="004E1D88" w:rsidP="004E1D88">
      <w:pPr>
        <w:spacing w:line="240" w:lineRule="auto"/>
        <w:jc w:val="both"/>
        <w:rPr>
          <w:sz w:val="20"/>
          <w:lang w:val="en-GB"/>
        </w:rPr>
      </w:pPr>
      <w:r w:rsidRPr="0008257C">
        <w:rPr>
          <w:sz w:val="20"/>
          <w:lang w:val="en-GB"/>
        </w:rPr>
        <w:t>Avoidance of unauthorized reading, copying, changing or deleting within the system through:</w:t>
      </w:r>
    </w:p>
    <w:tbl>
      <w:tblPr>
        <w:tblStyle w:val="Tabellenraster"/>
        <w:tblW w:w="0" w:type="auto"/>
        <w:tblLook w:val="04A0" w:firstRow="1" w:lastRow="0" w:firstColumn="1" w:lastColumn="0" w:noHBand="0" w:noVBand="1"/>
      </w:tblPr>
      <w:tblGrid>
        <w:gridCol w:w="4530"/>
        <w:gridCol w:w="4530"/>
      </w:tblGrid>
      <w:tr w:rsidR="004E1D88" w:rsidRPr="00CE2BC7" w14:paraId="019C2048" w14:textId="77777777" w:rsidTr="00AB5A28">
        <w:tc>
          <w:tcPr>
            <w:tcW w:w="4531" w:type="dxa"/>
          </w:tcPr>
          <w:p w14:paraId="132D3909" w14:textId="77777777" w:rsidR="004E1D88" w:rsidRPr="0008257C" w:rsidRDefault="00CE2BC7" w:rsidP="00AB5A28">
            <w:pPr>
              <w:rPr>
                <w:sz w:val="20"/>
                <w:lang w:val="en-GB"/>
              </w:rPr>
            </w:pPr>
            <w:sdt>
              <w:sdtPr>
                <w:rPr>
                  <w:sz w:val="20"/>
                  <w:lang w:val="en-GB"/>
                </w:rPr>
                <w:id w:val="-2086220250"/>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Standard correction profile on a “need to know basis”</w:t>
            </w:r>
          </w:p>
        </w:tc>
        <w:tc>
          <w:tcPr>
            <w:tcW w:w="4531" w:type="dxa"/>
          </w:tcPr>
          <w:p w14:paraId="48F1DC45" w14:textId="77777777" w:rsidR="004E1D88" w:rsidRPr="0008257C" w:rsidRDefault="00CE2BC7" w:rsidP="00AB5A28">
            <w:pPr>
              <w:rPr>
                <w:sz w:val="20"/>
                <w:lang w:val="en-GB"/>
              </w:rPr>
            </w:pPr>
            <w:sdt>
              <w:sdtPr>
                <w:rPr>
                  <w:sz w:val="20"/>
                  <w:lang w:val="en-GB"/>
                </w:rPr>
                <w:id w:val="-431665254"/>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Standard process for assigning authorisations</w:t>
            </w:r>
          </w:p>
        </w:tc>
      </w:tr>
      <w:tr w:rsidR="004E1D88" w:rsidRPr="00CE2BC7" w14:paraId="1C7130B9" w14:textId="77777777" w:rsidTr="00AB5A28">
        <w:tc>
          <w:tcPr>
            <w:tcW w:w="4531" w:type="dxa"/>
          </w:tcPr>
          <w:p w14:paraId="5D8F1C22" w14:textId="77777777" w:rsidR="004E1D88" w:rsidRPr="0008257C" w:rsidRDefault="00CE2BC7" w:rsidP="00AB5A28">
            <w:pPr>
              <w:jc w:val="both"/>
              <w:rPr>
                <w:sz w:val="20"/>
                <w:lang w:val="en-GB"/>
              </w:rPr>
            </w:pPr>
            <w:sdt>
              <w:sdtPr>
                <w:rPr>
                  <w:sz w:val="20"/>
                  <w:lang w:val="en-GB"/>
                </w:rPr>
                <w:id w:val="373353034"/>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Logging of access</w:t>
            </w:r>
          </w:p>
        </w:tc>
        <w:tc>
          <w:tcPr>
            <w:tcW w:w="4531" w:type="dxa"/>
          </w:tcPr>
          <w:p w14:paraId="5637241C" w14:textId="77777777" w:rsidR="004E1D88" w:rsidRPr="0008257C" w:rsidRDefault="00CE2BC7" w:rsidP="00AB5A28">
            <w:pPr>
              <w:jc w:val="both"/>
              <w:rPr>
                <w:sz w:val="20"/>
                <w:lang w:val="en-GB"/>
              </w:rPr>
            </w:pPr>
            <w:sdt>
              <w:sdtPr>
                <w:rPr>
                  <w:sz w:val="20"/>
                  <w:lang w:val="en-GB"/>
                </w:rPr>
                <w:id w:val="-1150512538"/>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Safe storage of data carriers</w:t>
            </w:r>
          </w:p>
        </w:tc>
      </w:tr>
      <w:tr w:rsidR="004E1D88" w:rsidRPr="00CE2BC7" w14:paraId="2B5810E1" w14:textId="77777777" w:rsidTr="00AB5A28">
        <w:tc>
          <w:tcPr>
            <w:tcW w:w="4531" w:type="dxa"/>
          </w:tcPr>
          <w:p w14:paraId="3D66E7EC" w14:textId="77777777" w:rsidR="004E1D88" w:rsidRPr="0008257C" w:rsidRDefault="00CE2BC7" w:rsidP="00AB5A28">
            <w:pPr>
              <w:jc w:val="both"/>
              <w:rPr>
                <w:sz w:val="20"/>
                <w:lang w:val="en-GB"/>
              </w:rPr>
            </w:pPr>
            <w:sdt>
              <w:sdtPr>
                <w:rPr>
                  <w:sz w:val="20"/>
                  <w:lang w:val="en-GB"/>
                </w:rPr>
                <w:id w:val="132684938"/>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Regular checks of the assigned authorisations and of administrative user accounts in particular</w:t>
            </w:r>
          </w:p>
        </w:tc>
        <w:tc>
          <w:tcPr>
            <w:tcW w:w="4531" w:type="dxa"/>
          </w:tcPr>
          <w:p w14:paraId="2FDC23D9" w14:textId="77777777" w:rsidR="004E1D88" w:rsidRPr="0008257C" w:rsidRDefault="00CE2BC7" w:rsidP="00AB5A28">
            <w:pPr>
              <w:jc w:val="both"/>
              <w:rPr>
                <w:sz w:val="20"/>
                <w:lang w:val="en-GB"/>
              </w:rPr>
            </w:pPr>
            <w:sdt>
              <w:sdtPr>
                <w:rPr>
                  <w:sz w:val="20"/>
                  <w:lang w:val="en-GB"/>
                </w:rPr>
                <w:id w:val="184952221"/>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Privacy-compliant reuse of data carriers</w:t>
            </w:r>
          </w:p>
        </w:tc>
      </w:tr>
      <w:tr w:rsidR="004E1D88" w:rsidRPr="00CE2BC7" w14:paraId="1983FB0F" w14:textId="77777777" w:rsidTr="00AB5A28">
        <w:tc>
          <w:tcPr>
            <w:tcW w:w="4531" w:type="dxa"/>
          </w:tcPr>
          <w:p w14:paraId="6C8C416E" w14:textId="77777777" w:rsidR="004E1D88" w:rsidRPr="0008257C" w:rsidRDefault="00CE2BC7" w:rsidP="00AB5A28">
            <w:pPr>
              <w:jc w:val="both"/>
              <w:rPr>
                <w:sz w:val="20"/>
                <w:lang w:val="en-GB"/>
              </w:rPr>
            </w:pPr>
            <w:sdt>
              <w:sdtPr>
                <w:rPr>
                  <w:sz w:val="20"/>
                  <w:lang w:val="en-GB"/>
                </w:rPr>
                <w:id w:val="1123266511"/>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Privacy-compliant disposal of data carriers that are no longer needed.</w:t>
            </w:r>
          </w:p>
        </w:tc>
        <w:tc>
          <w:tcPr>
            <w:tcW w:w="4531" w:type="dxa"/>
          </w:tcPr>
          <w:p w14:paraId="5BB713EB" w14:textId="77777777" w:rsidR="004E1D88" w:rsidRPr="0008257C" w:rsidRDefault="00CE2BC7" w:rsidP="00AB5A28">
            <w:pPr>
              <w:jc w:val="both"/>
              <w:rPr>
                <w:sz w:val="20"/>
                <w:lang w:val="en-GB"/>
              </w:rPr>
            </w:pPr>
            <w:sdt>
              <w:sdtPr>
                <w:rPr>
                  <w:sz w:val="20"/>
                  <w:lang w:val="en-US"/>
                </w:rPr>
                <w:id w:val="-1028178957"/>
                <w14:checkbox>
                  <w14:checked w14:val="0"/>
                  <w14:checkedState w14:val="2612" w14:font="MS Gothic"/>
                  <w14:uncheckedState w14:val="2610" w14:font="MS Gothic"/>
                </w14:checkbox>
              </w:sdtPr>
              <w:sdtEndPr/>
              <w:sdtContent>
                <w:r w:rsidR="004E1D88" w:rsidRPr="005B0EC4">
                  <w:rPr>
                    <w:rFonts w:ascii="MS Gothic" w:eastAsia="MS Gothic" w:hAnsi="MS Gothic" w:hint="eastAsia"/>
                    <w:sz w:val="20"/>
                    <w:lang w:val="en-US"/>
                  </w:rPr>
                  <w:t>☐</w:t>
                </w:r>
              </w:sdtContent>
            </w:sdt>
            <w:r w:rsidR="004E1D88" w:rsidRPr="005B0EC4">
              <w:rPr>
                <w:sz w:val="20"/>
                <w:lang w:val="en-US"/>
              </w:rPr>
              <w:t xml:space="preserve"> Clear-desk/clear-screen policy</w:t>
            </w:r>
          </w:p>
        </w:tc>
      </w:tr>
      <w:tr w:rsidR="004E1D88" w:rsidRPr="0008257C" w14:paraId="09812C70" w14:textId="77777777" w:rsidTr="00AB5A28">
        <w:tc>
          <w:tcPr>
            <w:tcW w:w="4531" w:type="dxa"/>
          </w:tcPr>
          <w:p w14:paraId="77433C5F" w14:textId="77777777" w:rsidR="004E1D88" w:rsidRPr="0008257C" w:rsidRDefault="00CE2BC7" w:rsidP="00AB5A28">
            <w:pPr>
              <w:rPr>
                <w:sz w:val="20"/>
                <w:lang w:val="en-GB"/>
              </w:rPr>
            </w:pPr>
            <w:sdt>
              <w:sdtPr>
                <w:rPr>
                  <w:sz w:val="20"/>
                  <w:lang w:val="en-GB"/>
                </w:rPr>
                <w:id w:val="-1868061375"/>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Other(s):</w:t>
            </w:r>
          </w:p>
        </w:tc>
        <w:tc>
          <w:tcPr>
            <w:tcW w:w="4531" w:type="dxa"/>
          </w:tcPr>
          <w:p w14:paraId="6970051E" w14:textId="77777777" w:rsidR="004E1D88" w:rsidRPr="0008257C" w:rsidRDefault="004E1D88" w:rsidP="00AB5A28">
            <w:pPr>
              <w:jc w:val="both"/>
              <w:rPr>
                <w:sz w:val="20"/>
                <w:lang w:val="en-GB"/>
              </w:rPr>
            </w:pPr>
          </w:p>
        </w:tc>
      </w:tr>
    </w:tbl>
    <w:p w14:paraId="3B9284AD" w14:textId="77777777" w:rsidR="004E1D88" w:rsidRPr="0008257C" w:rsidRDefault="004E1D88" w:rsidP="004E1D88">
      <w:pPr>
        <w:spacing w:line="240" w:lineRule="auto"/>
        <w:jc w:val="both"/>
        <w:rPr>
          <w:sz w:val="20"/>
          <w:lang w:val="en-GB"/>
        </w:rPr>
      </w:pPr>
    </w:p>
    <w:p w14:paraId="7EF8BF54" w14:textId="77777777" w:rsidR="004E1D88" w:rsidRPr="0008257C" w:rsidRDefault="004E1D88" w:rsidP="004E1D88">
      <w:pPr>
        <w:spacing w:line="240" w:lineRule="auto"/>
        <w:jc w:val="both"/>
        <w:rPr>
          <w:sz w:val="20"/>
          <w:lang w:val="en-GB"/>
        </w:rPr>
      </w:pPr>
      <w:r w:rsidRPr="0008257C">
        <w:rPr>
          <w:b/>
          <w:sz w:val="20"/>
          <w:lang w:val="en-GB"/>
        </w:rPr>
        <w:t>Pseudonymization:</w:t>
      </w:r>
      <w:r w:rsidRPr="0008257C">
        <w:rPr>
          <w:sz w:val="20"/>
          <w:lang w:val="en-GB"/>
        </w:rPr>
        <w:t xml:space="preserve"> If </w:t>
      </w:r>
      <w:proofErr w:type="gramStart"/>
      <w:r w:rsidRPr="005B0EC4">
        <w:rPr>
          <w:sz w:val="20"/>
          <w:lang w:val="en-US"/>
        </w:rPr>
        <w:t>possible</w:t>
      </w:r>
      <w:proofErr w:type="gramEnd"/>
      <w:r w:rsidRPr="0008257C">
        <w:rPr>
          <w:sz w:val="20"/>
          <w:lang w:val="en-GB"/>
        </w:rPr>
        <w:t xml:space="preserve"> for the data processing</w:t>
      </w:r>
      <w:r w:rsidRPr="005B0EC4">
        <w:rPr>
          <w:sz w:val="20"/>
          <w:lang w:val="en-US"/>
        </w:rPr>
        <w:t xml:space="preserve"> operation,</w:t>
      </w:r>
      <w:r w:rsidRPr="0008257C">
        <w:rPr>
          <w:sz w:val="20"/>
          <w:lang w:val="en-GB"/>
        </w:rPr>
        <w:t xml:space="preserve"> the primary identifiers are removed from within the data processing operation and saved elsewhere.</w:t>
      </w:r>
    </w:p>
    <w:tbl>
      <w:tblPr>
        <w:tblStyle w:val="Tabellenraster"/>
        <w:tblW w:w="0" w:type="auto"/>
        <w:tblLook w:val="04A0" w:firstRow="1" w:lastRow="0" w:firstColumn="1" w:lastColumn="0" w:noHBand="0" w:noVBand="1"/>
      </w:tblPr>
      <w:tblGrid>
        <w:gridCol w:w="4530"/>
        <w:gridCol w:w="4530"/>
      </w:tblGrid>
      <w:tr w:rsidR="004E1D88" w:rsidRPr="0008257C" w14:paraId="0E6DCD9D" w14:textId="77777777" w:rsidTr="00AB5A28">
        <w:tc>
          <w:tcPr>
            <w:tcW w:w="4531" w:type="dxa"/>
          </w:tcPr>
          <w:p w14:paraId="27D0FB98" w14:textId="77777777" w:rsidR="004E1D88" w:rsidRPr="0008257C" w:rsidRDefault="00CE2BC7" w:rsidP="00AB5A28">
            <w:pPr>
              <w:rPr>
                <w:sz w:val="20"/>
                <w:lang w:val="en-GB"/>
              </w:rPr>
            </w:pPr>
            <w:sdt>
              <w:sdtPr>
                <w:rPr>
                  <w:sz w:val="20"/>
                  <w:lang w:val="en-GB"/>
                </w:rPr>
                <w:id w:val="-309412955"/>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Yes</w:t>
            </w:r>
          </w:p>
        </w:tc>
        <w:tc>
          <w:tcPr>
            <w:tcW w:w="4531" w:type="dxa"/>
          </w:tcPr>
          <w:p w14:paraId="1750B649" w14:textId="77777777" w:rsidR="004E1D88" w:rsidRPr="0008257C" w:rsidRDefault="00CE2BC7" w:rsidP="00AB5A28">
            <w:pPr>
              <w:rPr>
                <w:sz w:val="20"/>
                <w:lang w:val="en-GB"/>
              </w:rPr>
            </w:pPr>
            <w:sdt>
              <w:sdtPr>
                <w:rPr>
                  <w:sz w:val="20"/>
                  <w:lang w:val="en-GB"/>
                </w:rPr>
                <w:id w:val="-24488187"/>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No</w:t>
            </w:r>
          </w:p>
        </w:tc>
      </w:tr>
    </w:tbl>
    <w:p w14:paraId="2575B144" w14:textId="77777777" w:rsidR="004E1D88" w:rsidRPr="0008257C" w:rsidRDefault="004E1D88" w:rsidP="004E1D88">
      <w:pPr>
        <w:spacing w:line="240" w:lineRule="auto"/>
        <w:jc w:val="both"/>
        <w:rPr>
          <w:sz w:val="20"/>
          <w:lang w:val="en-GB"/>
        </w:rPr>
      </w:pPr>
    </w:p>
    <w:p w14:paraId="2F1E3E25" w14:textId="77777777" w:rsidR="004E1D88" w:rsidRPr="0008257C" w:rsidRDefault="004E1D88" w:rsidP="004E1D88">
      <w:pPr>
        <w:spacing w:line="240" w:lineRule="auto"/>
        <w:jc w:val="both"/>
        <w:rPr>
          <w:sz w:val="20"/>
          <w:lang w:val="en-GB"/>
        </w:rPr>
      </w:pPr>
      <w:r w:rsidRPr="0008257C">
        <w:rPr>
          <w:b/>
          <w:sz w:val="20"/>
          <w:lang w:val="en-GB"/>
        </w:rPr>
        <w:t xml:space="preserve">Data classification scheme: </w:t>
      </w:r>
      <w:r w:rsidRPr="0008257C">
        <w:rPr>
          <w:sz w:val="20"/>
          <w:lang w:val="en-GB"/>
        </w:rPr>
        <w:t>Based on legal obligations or self-assessment (secret/confidential/internal/public).</w:t>
      </w:r>
    </w:p>
    <w:tbl>
      <w:tblPr>
        <w:tblStyle w:val="Tabellenraster"/>
        <w:tblW w:w="0" w:type="auto"/>
        <w:tblLook w:val="04A0" w:firstRow="1" w:lastRow="0" w:firstColumn="1" w:lastColumn="0" w:noHBand="0" w:noVBand="1"/>
      </w:tblPr>
      <w:tblGrid>
        <w:gridCol w:w="4530"/>
        <w:gridCol w:w="4530"/>
      </w:tblGrid>
      <w:tr w:rsidR="004E1D88" w:rsidRPr="0008257C" w14:paraId="43AC5494" w14:textId="77777777" w:rsidTr="00AB5A28">
        <w:tc>
          <w:tcPr>
            <w:tcW w:w="4531" w:type="dxa"/>
          </w:tcPr>
          <w:p w14:paraId="3642CD03" w14:textId="77777777" w:rsidR="004E1D88" w:rsidRPr="0008257C" w:rsidRDefault="00CE2BC7" w:rsidP="00AB5A28">
            <w:pPr>
              <w:rPr>
                <w:sz w:val="20"/>
                <w:lang w:val="en-GB"/>
              </w:rPr>
            </w:pPr>
            <w:sdt>
              <w:sdtPr>
                <w:rPr>
                  <w:sz w:val="20"/>
                  <w:lang w:val="en-GB"/>
                </w:rPr>
                <w:id w:val="273221434"/>
                <w14:checkbox>
                  <w14:checked w14:val="0"/>
                  <w14:checkedState w14:val="2612" w14:font="MS Gothic"/>
                  <w14:uncheckedState w14:val="2610" w14:font="MS Gothic"/>
                </w14:checkbox>
              </w:sdtPr>
              <w:sdtEndPr/>
              <w:sdtContent>
                <w:r w:rsidR="00B0469C">
                  <w:rPr>
                    <w:rFonts w:ascii="MS Gothic" w:eastAsia="MS Gothic" w:hAnsi="MS Gothic" w:hint="eastAsia"/>
                    <w:sz w:val="20"/>
                    <w:lang w:val="en-GB"/>
                  </w:rPr>
                  <w:t>☐</w:t>
                </w:r>
              </w:sdtContent>
            </w:sdt>
            <w:r w:rsidR="004E1D88" w:rsidRPr="0008257C">
              <w:rPr>
                <w:sz w:val="20"/>
                <w:lang w:val="en-GB"/>
              </w:rPr>
              <w:t xml:space="preserve"> Yes</w:t>
            </w:r>
          </w:p>
        </w:tc>
        <w:tc>
          <w:tcPr>
            <w:tcW w:w="4531" w:type="dxa"/>
          </w:tcPr>
          <w:p w14:paraId="3BBFAF14" w14:textId="77777777" w:rsidR="004E1D88" w:rsidRPr="0008257C" w:rsidRDefault="00CE2BC7" w:rsidP="00AB5A28">
            <w:pPr>
              <w:rPr>
                <w:sz w:val="20"/>
                <w:lang w:val="en-GB"/>
              </w:rPr>
            </w:pPr>
            <w:sdt>
              <w:sdtPr>
                <w:rPr>
                  <w:sz w:val="20"/>
                  <w:lang w:val="en-GB"/>
                </w:rPr>
                <w:id w:val="-1802997127"/>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No</w:t>
            </w:r>
          </w:p>
        </w:tc>
      </w:tr>
    </w:tbl>
    <w:p w14:paraId="45358217" w14:textId="544429AF" w:rsidR="004E1D88" w:rsidRDefault="004E1D88" w:rsidP="004E1D88">
      <w:pPr>
        <w:spacing w:line="240" w:lineRule="auto"/>
        <w:ind w:left="360"/>
        <w:jc w:val="both"/>
        <w:rPr>
          <w:sz w:val="20"/>
          <w:lang w:val="en-GB"/>
        </w:rPr>
      </w:pPr>
    </w:p>
    <w:p w14:paraId="560007FF" w14:textId="77777777" w:rsidR="00F50711" w:rsidRPr="0008257C" w:rsidRDefault="00F50711" w:rsidP="004E1D88">
      <w:pPr>
        <w:spacing w:line="240" w:lineRule="auto"/>
        <w:ind w:left="360"/>
        <w:jc w:val="both"/>
        <w:rPr>
          <w:sz w:val="20"/>
          <w:lang w:val="en-GB"/>
        </w:rPr>
      </w:pPr>
    </w:p>
    <w:p w14:paraId="30CC7B68" w14:textId="77777777" w:rsidR="004E1D88" w:rsidRPr="0008257C" w:rsidRDefault="004E1D88" w:rsidP="004E1D88">
      <w:pPr>
        <w:pStyle w:val="berschrift2"/>
        <w:spacing w:before="0" w:after="0" w:line="240" w:lineRule="auto"/>
        <w:rPr>
          <w:rFonts w:ascii="Trebuchet MS" w:hAnsi="Trebuchet MS"/>
          <w:sz w:val="20"/>
          <w:szCs w:val="22"/>
          <w:lang w:val="en-GB"/>
        </w:rPr>
      </w:pPr>
      <w:r w:rsidRPr="0008257C">
        <w:rPr>
          <w:rFonts w:ascii="Trebuchet MS" w:hAnsi="Trebuchet MS"/>
          <w:sz w:val="20"/>
          <w:lang w:val="en-GB"/>
        </w:rPr>
        <w:t>B. Data Integrity</w:t>
      </w:r>
      <w:r w:rsidRPr="0008257C">
        <w:rPr>
          <w:rStyle w:val="Funotenzeichen"/>
          <w:rFonts w:ascii="Trebuchet MS" w:hAnsi="Trebuchet MS"/>
          <w:sz w:val="20"/>
          <w:lang w:val="en-GB"/>
        </w:rPr>
        <w:footnoteReference w:id="5"/>
      </w:r>
    </w:p>
    <w:p w14:paraId="2FA71076" w14:textId="77777777" w:rsidR="004E1D88" w:rsidRPr="0008257C" w:rsidRDefault="004E1D88" w:rsidP="004E1D88">
      <w:pPr>
        <w:rPr>
          <w:sz w:val="20"/>
          <w:lang w:val="en-GB"/>
        </w:rPr>
      </w:pPr>
    </w:p>
    <w:p w14:paraId="372F43E1" w14:textId="77777777" w:rsidR="004E1D88" w:rsidRPr="0008257C" w:rsidRDefault="004E1D88" w:rsidP="004E1D88">
      <w:pPr>
        <w:spacing w:line="240" w:lineRule="auto"/>
        <w:jc w:val="both"/>
        <w:rPr>
          <w:sz w:val="20"/>
          <w:lang w:val="en-GB"/>
        </w:rPr>
      </w:pPr>
      <w:r w:rsidRPr="0008257C">
        <w:rPr>
          <w:b/>
          <w:sz w:val="20"/>
          <w:lang w:val="en-GB"/>
        </w:rPr>
        <w:t>Control of data transfer:</w:t>
      </w:r>
      <w:r w:rsidRPr="0008257C">
        <w:rPr>
          <w:sz w:val="20"/>
          <w:lang w:val="en-GB"/>
        </w:rPr>
        <w:t xml:space="preserve"> No unauthorised reading, copying, changing or deleting during electronic transfer or transport by way of: </w:t>
      </w:r>
    </w:p>
    <w:tbl>
      <w:tblPr>
        <w:tblStyle w:val="Tabellenraster3"/>
        <w:tblW w:w="0" w:type="auto"/>
        <w:tblLook w:val="04A0" w:firstRow="1" w:lastRow="0" w:firstColumn="1" w:lastColumn="0" w:noHBand="0" w:noVBand="1"/>
      </w:tblPr>
      <w:tblGrid>
        <w:gridCol w:w="4530"/>
        <w:gridCol w:w="4530"/>
      </w:tblGrid>
      <w:tr w:rsidR="004E1D88" w:rsidRPr="0008257C" w14:paraId="6BB746C4" w14:textId="77777777" w:rsidTr="00AB5A28">
        <w:tc>
          <w:tcPr>
            <w:tcW w:w="4531" w:type="dxa"/>
          </w:tcPr>
          <w:p w14:paraId="2B4BCD61" w14:textId="77777777" w:rsidR="004E1D88" w:rsidRPr="0008257C" w:rsidRDefault="00CE2BC7" w:rsidP="00AB5A28">
            <w:pPr>
              <w:rPr>
                <w:sz w:val="20"/>
                <w:lang w:val="en-GB"/>
              </w:rPr>
            </w:pPr>
            <w:sdt>
              <w:sdtPr>
                <w:rPr>
                  <w:sz w:val="20"/>
                  <w:lang w:val="en-GB"/>
                </w:rPr>
                <w:id w:val="1304344197"/>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Encryption of data carriers</w:t>
            </w:r>
          </w:p>
        </w:tc>
        <w:tc>
          <w:tcPr>
            <w:tcW w:w="4531" w:type="dxa"/>
          </w:tcPr>
          <w:p w14:paraId="1612D663" w14:textId="77777777" w:rsidR="004E1D88" w:rsidRPr="0008257C" w:rsidRDefault="00CE2BC7" w:rsidP="00AB5A28">
            <w:pPr>
              <w:jc w:val="both"/>
              <w:rPr>
                <w:sz w:val="20"/>
                <w:lang w:val="en-GB"/>
              </w:rPr>
            </w:pPr>
            <w:sdt>
              <w:sdtPr>
                <w:rPr>
                  <w:sz w:val="20"/>
                  <w:lang w:val="en-GB"/>
                </w:rPr>
                <w:id w:val="964240710"/>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Encryption of data files</w:t>
            </w:r>
          </w:p>
        </w:tc>
      </w:tr>
      <w:tr w:rsidR="004E1D88" w:rsidRPr="0008257C" w14:paraId="3108F6EE" w14:textId="77777777" w:rsidTr="00AB5A28">
        <w:tc>
          <w:tcPr>
            <w:tcW w:w="4531" w:type="dxa"/>
          </w:tcPr>
          <w:p w14:paraId="7122ACE2" w14:textId="77777777" w:rsidR="004E1D88" w:rsidRPr="0008257C" w:rsidRDefault="00CE2BC7" w:rsidP="00AB5A28">
            <w:pPr>
              <w:rPr>
                <w:sz w:val="20"/>
                <w:lang w:val="en-GB"/>
              </w:rPr>
            </w:pPr>
            <w:sdt>
              <w:sdtPr>
                <w:rPr>
                  <w:sz w:val="20"/>
                  <w:lang w:val="en-GB"/>
                </w:rPr>
                <w:id w:val="1624198596"/>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Virtual private networks (VPN)</w:t>
            </w:r>
          </w:p>
        </w:tc>
        <w:tc>
          <w:tcPr>
            <w:tcW w:w="4531" w:type="dxa"/>
          </w:tcPr>
          <w:p w14:paraId="5A4F58A7" w14:textId="77777777" w:rsidR="004E1D88" w:rsidRPr="0008257C" w:rsidRDefault="00CE2BC7" w:rsidP="00AB5A28">
            <w:pPr>
              <w:jc w:val="both"/>
              <w:rPr>
                <w:sz w:val="20"/>
                <w:lang w:val="en-GB"/>
              </w:rPr>
            </w:pPr>
            <w:sdt>
              <w:sdtPr>
                <w:rPr>
                  <w:sz w:val="20"/>
                  <w:lang w:val="en-GB"/>
                </w:rPr>
                <w:id w:val="-1449469497"/>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Electronic signatures</w:t>
            </w:r>
          </w:p>
        </w:tc>
      </w:tr>
      <w:tr w:rsidR="004E1D88" w:rsidRPr="0008257C" w14:paraId="7AAC3876" w14:textId="77777777" w:rsidTr="00AB5A28">
        <w:tc>
          <w:tcPr>
            <w:tcW w:w="4531" w:type="dxa"/>
          </w:tcPr>
          <w:p w14:paraId="3FF5D064" w14:textId="77777777" w:rsidR="004E1D88" w:rsidRPr="0008257C" w:rsidRDefault="00CE2BC7" w:rsidP="00AB5A28">
            <w:pPr>
              <w:jc w:val="both"/>
              <w:rPr>
                <w:sz w:val="20"/>
                <w:lang w:val="en-GB"/>
              </w:rPr>
            </w:pPr>
            <w:sdt>
              <w:sdtPr>
                <w:rPr>
                  <w:sz w:val="20"/>
                  <w:lang w:val="en-GB"/>
                </w:rPr>
                <w:id w:val="415599687"/>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Other(s):</w:t>
            </w:r>
          </w:p>
        </w:tc>
        <w:tc>
          <w:tcPr>
            <w:tcW w:w="4531" w:type="dxa"/>
          </w:tcPr>
          <w:p w14:paraId="5448748D" w14:textId="77777777" w:rsidR="004E1D88" w:rsidRPr="0008257C" w:rsidRDefault="004E1D88" w:rsidP="00AB5A28">
            <w:pPr>
              <w:jc w:val="both"/>
              <w:rPr>
                <w:sz w:val="20"/>
                <w:lang w:val="en-GB"/>
              </w:rPr>
            </w:pPr>
          </w:p>
        </w:tc>
      </w:tr>
    </w:tbl>
    <w:p w14:paraId="3BFEEEA5" w14:textId="77777777" w:rsidR="004E1D88" w:rsidRPr="0008257C" w:rsidRDefault="004E1D88" w:rsidP="004E1D88">
      <w:pPr>
        <w:spacing w:line="240" w:lineRule="auto"/>
        <w:jc w:val="both"/>
        <w:rPr>
          <w:b/>
          <w:sz w:val="20"/>
          <w:lang w:val="en-GB"/>
        </w:rPr>
      </w:pPr>
    </w:p>
    <w:p w14:paraId="3E15F972" w14:textId="77777777" w:rsidR="004E1D88" w:rsidRPr="0008257C" w:rsidRDefault="004E1D88" w:rsidP="004E1D88">
      <w:pPr>
        <w:spacing w:line="240" w:lineRule="auto"/>
        <w:jc w:val="both"/>
        <w:rPr>
          <w:sz w:val="20"/>
          <w:lang w:val="en-GB"/>
        </w:rPr>
      </w:pPr>
      <w:r w:rsidRPr="0008257C">
        <w:rPr>
          <w:b/>
          <w:sz w:val="20"/>
          <w:lang w:val="en-GB"/>
        </w:rPr>
        <w:t>Data entry control:</w:t>
      </w:r>
      <w:r w:rsidRPr="0008257C">
        <w:rPr>
          <w:sz w:val="20"/>
          <w:lang w:val="en-GB"/>
        </w:rPr>
        <w:t xml:space="preserve"> Determination of whether and by whom personal data has been entered into the data processing system, changed or deleted by:</w:t>
      </w:r>
    </w:p>
    <w:tbl>
      <w:tblPr>
        <w:tblStyle w:val="Tabellenraster4"/>
        <w:tblW w:w="0" w:type="auto"/>
        <w:tblLook w:val="04A0" w:firstRow="1" w:lastRow="0" w:firstColumn="1" w:lastColumn="0" w:noHBand="0" w:noVBand="1"/>
      </w:tblPr>
      <w:tblGrid>
        <w:gridCol w:w="4530"/>
        <w:gridCol w:w="4530"/>
      </w:tblGrid>
      <w:tr w:rsidR="004E1D88" w:rsidRPr="0008257C" w14:paraId="651B6060" w14:textId="77777777" w:rsidTr="00AB5A28">
        <w:tc>
          <w:tcPr>
            <w:tcW w:w="4531" w:type="dxa"/>
          </w:tcPr>
          <w:p w14:paraId="6C0F6B85" w14:textId="77777777" w:rsidR="004E1D88" w:rsidRPr="0008257C" w:rsidRDefault="00CE2BC7" w:rsidP="00AB5A28">
            <w:pPr>
              <w:rPr>
                <w:sz w:val="20"/>
              </w:rPr>
            </w:pPr>
            <w:sdt>
              <w:sdtPr>
                <w:rPr>
                  <w:sz w:val="20"/>
                </w:rPr>
                <w:id w:val="-329827121"/>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w:t>
            </w:r>
            <w:r w:rsidR="004E1D88" w:rsidRPr="0008257C">
              <w:rPr>
                <w:sz w:val="20"/>
                <w:lang w:val="en-GB"/>
              </w:rPr>
              <w:t>Logging</w:t>
            </w:r>
          </w:p>
        </w:tc>
        <w:tc>
          <w:tcPr>
            <w:tcW w:w="4531" w:type="dxa"/>
          </w:tcPr>
          <w:p w14:paraId="269CB6BE" w14:textId="77777777" w:rsidR="004E1D88" w:rsidRPr="0008257C" w:rsidRDefault="00CE2BC7" w:rsidP="00AB5A28">
            <w:pPr>
              <w:jc w:val="both"/>
              <w:rPr>
                <w:sz w:val="20"/>
              </w:rPr>
            </w:pPr>
            <w:sdt>
              <w:sdtPr>
                <w:rPr>
                  <w:sz w:val="20"/>
                </w:rPr>
                <w:id w:val="683863709"/>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w:t>
            </w:r>
            <w:r w:rsidR="004E1D88" w:rsidRPr="0008257C">
              <w:rPr>
                <w:sz w:val="20"/>
                <w:lang w:val="en-GB"/>
              </w:rPr>
              <w:t>Document management</w:t>
            </w:r>
          </w:p>
        </w:tc>
      </w:tr>
      <w:tr w:rsidR="004E1D88" w:rsidRPr="0008257C" w14:paraId="4C752B4F" w14:textId="77777777" w:rsidTr="00AB5A28">
        <w:tc>
          <w:tcPr>
            <w:tcW w:w="4531" w:type="dxa"/>
          </w:tcPr>
          <w:p w14:paraId="664D3C68" w14:textId="77777777" w:rsidR="004E1D88" w:rsidRPr="0008257C" w:rsidRDefault="00CE2BC7" w:rsidP="00AB5A28">
            <w:pPr>
              <w:jc w:val="both"/>
              <w:rPr>
                <w:sz w:val="20"/>
              </w:rPr>
            </w:pPr>
            <w:sdt>
              <w:sdtPr>
                <w:rPr>
                  <w:sz w:val="20"/>
                </w:rPr>
                <w:id w:val="1645999658"/>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Other(s):</w:t>
            </w:r>
          </w:p>
        </w:tc>
        <w:tc>
          <w:tcPr>
            <w:tcW w:w="4531" w:type="dxa"/>
          </w:tcPr>
          <w:p w14:paraId="3C135373" w14:textId="77777777" w:rsidR="004E1D88" w:rsidRPr="0008257C" w:rsidRDefault="004E1D88" w:rsidP="00AB5A28">
            <w:pPr>
              <w:jc w:val="both"/>
              <w:rPr>
                <w:sz w:val="20"/>
              </w:rPr>
            </w:pPr>
          </w:p>
        </w:tc>
      </w:tr>
    </w:tbl>
    <w:p w14:paraId="460B48F2" w14:textId="77777777" w:rsidR="004E1D88" w:rsidRPr="0008257C" w:rsidRDefault="004E1D88" w:rsidP="004E1D88">
      <w:pPr>
        <w:spacing w:line="240" w:lineRule="auto"/>
        <w:jc w:val="both"/>
        <w:rPr>
          <w:sz w:val="20"/>
          <w:lang w:val="en-GB"/>
        </w:rPr>
      </w:pPr>
    </w:p>
    <w:p w14:paraId="39FA3E30" w14:textId="77777777" w:rsidR="004E1D88" w:rsidRPr="0008257C" w:rsidRDefault="004E1D88" w:rsidP="004E1D88">
      <w:pPr>
        <w:spacing w:line="240" w:lineRule="auto"/>
        <w:jc w:val="both"/>
        <w:rPr>
          <w:sz w:val="20"/>
          <w:lang w:val="en-GB"/>
        </w:rPr>
      </w:pPr>
    </w:p>
    <w:p w14:paraId="50307BD9" w14:textId="77777777" w:rsidR="004E1D88" w:rsidRPr="00F50711" w:rsidRDefault="004E1D88" w:rsidP="004E1D88">
      <w:pPr>
        <w:pStyle w:val="berschrift2"/>
        <w:spacing w:before="0" w:after="0" w:line="240" w:lineRule="auto"/>
        <w:ind w:left="397" w:hanging="397"/>
        <w:rPr>
          <w:rFonts w:ascii="Trebuchet MS" w:hAnsi="Trebuchet MS"/>
          <w:sz w:val="20"/>
          <w:szCs w:val="22"/>
          <w:lang w:val="en-GB"/>
        </w:rPr>
      </w:pPr>
      <w:r w:rsidRPr="00F50711">
        <w:rPr>
          <w:rFonts w:ascii="Trebuchet MS" w:hAnsi="Trebuchet MS"/>
          <w:sz w:val="20"/>
          <w:lang w:val="en-GB"/>
        </w:rPr>
        <w:t>C. Availability and Resilience</w:t>
      </w:r>
    </w:p>
    <w:p w14:paraId="6F0C0773" w14:textId="77777777" w:rsidR="004E1D88" w:rsidRPr="0008257C" w:rsidRDefault="004E1D88" w:rsidP="004E1D88">
      <w:pPr>
        <w:rPr>
          <w:sz w:val="20"/>
          <w:lang w:val="en-GB"/>
        </w:rPr>
      </w:pPr>
    </w:p>
    <w:p w14:paraId="3B86BBE4" w14:textId="77777777" w:rsidR="004E1D88" w:rsidRPr="0008257C" w:rsidRDefault="004E1D88" w:rsidP="004E1D88">
      <w:pPr>
        <w:spacing w:line="240" w:lineRule="auto"/>
        <w:jc w:val="both"/>
        <w:rPr>
          <w:sz w:val="20"/>
          <w:lang w:val="en-GB"/>
        </w:rPr>
      </w:pPr>
      <w:r w:rsidRPr="0008257C">
        <w:rPr>
          <w:b/>
          <w:sz w:val="20"/>
          <w:lang w:val="en-GB"/>
        </w:rPr>
        <w:t>Availability control:</w:t>
      </w:r>
      <w:r w:rsidRPr="0008257C">
        <w:rPr>
          <w:sz w:val="20"/>
          <w:lang w:val="en-GB"/>
        </w:rPr>
        <w:t xml:space="preserve"> Protection against wilful destruction (negligent and/or wilful) or loss through: </w:t>
      </w:r>
    </w:p>
    <w:tbl>
      <w:tblPr>
        <w:tblStyle w:val="Tabellenraster5"/>
        <w:tblW w:w="0" w:type="auto"/>
        <w:tblLook w:val="04A0" w:firstRow="1" w:lastRow="0" w:firstColumn="1" w:lastColumn="0" w:noHBand="0" w:noVBand="1"/>
      </w:tblPr>
      <w:tblGrid>
        <w:gridCol w:w="4530"/>
        <w:gridCol w:w="4530"/>
      </w:tblGrid>
      <w:tr w:rsidR="004E1D88" w:rsidRPr="00CE2BC7" w14:paraId="164C4263" w14:textId="77777777" w:rsidTr="00AB5A28">
        <w:tc>
          <w:tcPr>
            <w:tcW w:w="4531" w:type="dxa"/>
          </w:tcPr>
          <w:p w14:paraId="3AE2F012" w14:textId="77777777" w:rsidR="004E1D88" w:rsidRPr="005B0EC4" w:rsidRDefault="00CE2BC7" w:rsidP="00AB5A28">
            <w:pPr>
              <w:rPr>
                <w:sz w:val="20"/>
                <w:lang w:val="en-US"/>
              </w:rPr>
            </w:pPr>
            <w:sdt>
              <w:sdtPr>
                <w:rPr>
                  <w:sz w:val="20"/>
                  <w:lang w:val="en-US"/>
                </w:rPr>
                <w:id w:val="-1869211286"/>
                <w14:checkbox>
                  <w14:checked w14:val="0"/>
                  <w14:checkedState w14:val="2612" w14:font="MS Gothic"/>
                  <w14:uncheckedState w14:val="2610" w14:font="MS Gothic"/>
                </w14:checkbox>
              </w:sdtPr>
              <w:sdtEndPr/>
              <w:sdtContent>
                <w:r w:rsidR="004E1D88" w:rsidRPr="005B0EC4">
                  <w:rPr>
                    <w:rFonts w:ascii="Segoe UI Symbol" w:eastAsia="MS Gothic" w:hAnsi="Segoe UI Symbol" w:cs="Segoe UI Symbol"/>
                    <w:sz w:val="20"/>
                    <w:lang w:val="en-US"/>
                  </w:rPr>
                  <w:t>☐</w:t>
                </w:r>
              </w:sdtContent>
            </w:sdt>
            <w:r w:rsidR="004E1D88" w:rsidRPr="005B0EC4">
              <w:rPr>
                <w:sz w:val="20"/>
                <w:lang w:val="en-US"/>
              </w:rPr>
              <w:t xml:space="preserve"> </w:t>
            </w:r>
            <w:r w:rsidR="004E1D88" w:rsidRPr="0008257C">
              <w:rPr>
                <w:sz w:val="20"/>
                <w:lang w:val="en-GB"/>
              </w:rPr>
              <w:t>Back-up strategy (online/offline; on-site/ off-site)</w:t>
            </w:r>
          </w:p>
        </w:tc>
        <w:tc>
          <w:tcPr>
            <w:tcW w:w="4531" w:type="dxa"/>
          </w:tcPr>
          <w:p w14:paraId="2F20BF00" w14:textId="77777777" w:rsidR="004E1D88" w:rsidRPr="005B0EC4" w:rsidRDefault="00CE2BC7" w:rsidP="00AB5A28">
            <w:pPr>
              <w:rPr>
                <w:sz w:val="20"/>
                <w:lang w:val="en-US"/>
              </w:rPr>
            </w:pPr>
            <w:sdt>
              <w:sdtPr>
                <w:rPr>
                  <w:sz w:val="20"/>
                  <w:lang w:val="en-US"/>
                </w:rPr>
                <w:id w:val="1070469665"/>
                <w14:checkbox>
                  <w14:checked w14:val="0"/>
                  <w14:checkedState w14:val="2612" w14:font="MS Gothic"/>
                  <w14:uncheckedState w14:val="2610" w14:font="MS Gothic"/>
                </w14:checkbox>
              </w:sdtPr>
              <w:sdtEndPr/>
              <w:sdtContent>
                <w:r w:rsidR="004E1D88" w:rsidRPr="005B0EC4">
                  <w:rPr>
                    <w:rFonts w:ascii="Segoe UI Symbol" w:eastAsia="MS Gothic" w:hAnsi="Segoe UI Symbol" w:cs="Segoe UI Symbol"/>
                    <w:sz w:val="20"/>
                    <w:lang w:val="en-US"/>
                  </w:rPr>
                  <w:t>☐</w:t>
                </w:r>
              </w:sdtContent>
            </w:sdt>
            <w:r w:rsidR="004E1D88" w:rsidRPr="005B0EC4">
              <w:rPr>
                <w:sz w:val="20"/>
                <w:lang w:val="en-US"/>
              </w:rPr>
              <w:t xml:space="preserve"> U</w:t>
            </w:r>
            <w:proofErr w:type="spellStart"/>
            <w:r w:rsidR="004E1D88" w:rsidRPr="0008257C">
              <w:rPr>
                <w:sz w:val="20"/>
                <w:lang w:val="en-GB"/>
              </w:rPr>
              <w:t>ninterrupted</w:t>
            </w:r>
            <w:proofErr w:type="spellEnd"/>
            <w:r w:rsidR="004E1D88" w:rsidRPr="0008257C">
              <w:rPr>
                <w:sz w:val="20"/>
                <w:lang w:val="en-GB"/>
              </w:rPr>
              <w:t xml:space="preserve"> power supply (UPS, diesel generator)</w:t>
            </w:r>
          </w:p>
        </w:tc>
      </w:tr>
      <w:tr w:rsidR="004E1D88" w:rsidRPr="0008257C" w14:paraId="027692CF" w14:textId="77777777" w:rsidTr="00AB5A28">
        <w:tc>
          <w:tcPr>
            <w:tcW w:w="4531" w:type="dxa"/>
          </w:tcPr>
          <w:p w14:paraId="069B8C36" w14:textId="77777777" w:rsidR="004E1D88" w:rsidRPr="0008257C" w:rsidRDefault="00CE2BC7" w:rsidP="00AB5A28">
            <w:pPr>
              <w:jc w:val="both"/>
              <w:rPr>
                <w:sz w:val="20"/>
              </w:rPr>
            </w:pPr>
            <w:sdt>
              <w:sdtPr>
                <w:rPr>
                  <w:sz w:val="20"/>
                </w:rPr>
                <w:id w:val="-752968482"/>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w:t>
            </w:r>
            <w:r w:rsidR="004E1D88" w:rsidRPr="0008257C">
              <w:rPr>
                <w:sz w:val="20"/>
                <w:lang w:val="en-GB"/>
              </w:rPr>
              <w:t>Virus protection</w:t>
            </w:r>
          </w:p>
        </w:tc>
        <w:tc>
          <w:tcPr>
            <w:tcW w:w="4531" w:type="dxa"/>
          </w:tcPr>
          <w:p w14:paraId="185EA898" w14:textId="77777777" w:rsidR="004E1D88" w:rsidRPr="0008257C" w:rsidRDefault="00CE2BC7" w:rsidP="00AB5A28">
            <w:pPr>
              <w:jc w:val="both"/>
              <w:rPr>
                <w:sz w:val="20"/>
              </w:rPr>
            </w:pPr>
            <w:sdt>
              <w:sdtPr>
                <w:rPr>
                  <w:sz w:val="20"/>
                </w:rPr>
                <w:id w:val="1266045313"/>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F</w:t>
            </w:r>
            <w:proofErr w:type="spellStart"/>
            <w:r w:rsidR="004E1D88" w:rsidRPr="0008257C">
              <w:rPr>
                <w:sz w:val="20"/>
                <w:lang w:val="en-GB"/>
              </w:rPr>
              <w:t>irewall</w:t>
            </w:r>
            <w:proofErr w:type="spellEnd"/>
          </w:p>
        </w:tc>
      </w:tr>
      <w:tr w:rsidR="004E1D88" w:rsidRPr="00CE2BC7" w14:paraId="4E664BAD" w14:textId="77777777" w:rsidTr="00AB5A28">
        <w:tc>
          <w:tcPr>
            <w:tcW w:w="4531" w:type="dxa"/>
          </w:tcPr>
          <w:p w14:paraId="19EABC89" w14:textId="77777777" w:rsidR="004E1D88" w:rsidRPr="005B0EC4" w:rsidRDefault="00CE2BC7" w:rsidP="00AB5A28">
            <w:pPr>
              <w:rPr>
                <w:sz w:val="20"/>
                <w:lang w:val="en-US"/>
              </w:rPr>
            </w:pPr>
            <w:sdt>
              <w:sdtPr>
                <w:rPr>
                  <w:sz w:val="20"/>
                  <w:lang w:val="en-US"/>
                </w:rPr>
                <w:id w:val="1530449920"/>
                <w14:checkbox>
                  <w14:checked w14:val="0"/>
                  <w14:checkedState w14:val="2612" w14:font="MS Gothic"/>
                  <w14:uncheckedState w14:val="2610" w14:font="MS Gothic"/>
                </w14:checkbox>
              </w:sdtPr>
              <w:sdtEndPr/>
              <w:sdtContent>
                <w:r w:rsidR="004E1D88" w:rsidRPr="005B0EC4">
                  <w:rPr>
                    <w:rFonts w:ascii="Segoe UI Symbol" w:eastAsia="MS Gothic" w:hAnsi="Segoe UI Symbol" w:cs="Segoe UI Symbol"/>
                    <w:sz w:val="20"/>
                    <w:lang w:val="en-US"/>
                  </w:rPr>
                  <w:t>☐</w:t>
                </w:r>
              </w:sdtContent>
            </w:sdt>
            <w:r w:rsidR="004E1D88" w:rsidRPr="005B0EC4">
              <w:rPr>
                <w:sz w:val="20"/>
                <w:lang w:val="en-US"/>
              </w:rPr>
              <w:t xml:space="preserve"> </w:t>
            </w:r>
            <w:r w:rsidR="004E1D88" w:rsidRPr="0008257C">
              <w:rPr>
                <w:sz w:val="20"/>
                <w:lang w:val="en-GB"/>
              </w:rPr>
              <w:t>Reporting channels and emergency procedures</w:t>
            </w:r>
          </w:p>
        </w:tc>
        <w:tc>
          <w:tcPr>
            <w:tcW w:w="4531" w:type="dxa"/>
          </w:tcPr>
          <w:p w14:paraId="5D4F8320" w14:textId="77777777" w:rsidR="004E1D88" w:rsidRPr="005B0EC4" w:rsidRDefault="00CE2BC7" w:rsidP="00AB5A28">
            <w:pPr>
              <w:jc w:val="both"/>
              <w:rPr>
                <w:sz w:val="20"/>
                <w:lang w:val="en-US"/>
              </w:rPr>
            </w:pPr>
            <w:sdt>
              <w:sdtPr>
                <w:rPr>
                  <w:sz w:val="20"/>
                  <w:lang w:val="en-US"/>
                </w:rPr>
                <w:id w:val="886771212"/>
                <w14:checkbox>
                  <w14:checked w14:val="0"/>
                  <w14:checkedState w14:val="2612" w14:font="MS Gothic"/>
                  <w14:uncheckedState w14:val="2610" w14:font="MS Gothic"/>
                </w14:checkbox>
              </w:sdtPr>
              <w:sdtEndPr/>
              <w:sdtContent>
                <w:r w:rsidR="004E1D88" w:rsidRPr="005B0EC4">
                  <w:rPr>
                    <w:rFonts w:ascii="Segoe UI Symbol" w:eastAsia="MS Gothic" w:hAnsi="Segoe UI Symbol" w:cs="Segoe UI Symbol"/>
                    <w:sz w:val="20"/>
                    <w:lang w:val="en-US"/>
                  </w:rPr>
                  <w:t>☐</w:t>
                </w:r>
              </w:sdtContent>
            </w:sdt>
            <w:r w:rsidR="004E1D88" w:rsidRPr="005B0EC4">
              <w:rPr>
                <w:sz w:val="20"/>
                <w:lang w:val="en-US"/>
              </w:rPr>
              <w:t xml:space="preserve"> </w:t>
            </w:r>
            <w:r w:rsidR="004E1D88" w:rsidRPr="0008257C">
              <w:rPr>
                <w:sz w:val="20"/>
                <w:lang w:val="en-GB"/>
              </w:rPr>
              <w:t xml:space="preserve">Security checks </w:t>
            </w:r>
            <w:proofErr w:type="gramStart"/>
            <w:r w:rsidR="004E1D88" w:rsidRPr="0008257C">
              <w:rPr>
                <w:sz w:val="20"/>
                <w:lang w:val="en-GB"/>
              </w:rPr>
              <w:t>with regard to</w:t>
            </w:r>
            <w:proofErr w:type="gramEnd"/>
            <w:r w:rsidR="004E1D88" w:rsidRPr="0008257C">
              <w:rPr>
                <w:sz w:val="20"/>
                <w:lang w:val="en-GB"/>
              </w:rPr>
              <w:t xml:space="preserve"> infrastructure and application</w:t>
            </w:r>
          </w:p>
        </w:tc>
      </w:tr>
      <w:tr w:rsidR="004E1D88" w:rsidRPr="00CE2BC7" w14:paraId="4501FB16" w14:textId="77777777" w:rsidTr="00AB5A28">
        <w:tc>
          <w:tcPr>
            <w:tcW w:w="4531" w:type="dxa"/>
          </w:tcPr>
          <w:p w14:paraId="4571F8A6" w14:textId="77777777" w:rsidR="004E1D88" w:rsidRPr="005B0EC4" w:rsidRDefault="00CE2BC7" w:rsidP="00AB5A28">
            <w:pPr>
              <w:rPr>
                <w:sz w:val="20"/>
                <w:lang w:val="en-US"/>
              </w:rPr>
            </w:pPr>
            <w:sdt>
              <w:sdtPr>
                <w:rPr>
                  <w:sz w:val="20"/>
                  <w:lang w:val="en-US"/>
                </w:rPr>
                <w:id w:val="-322978965"/>
                <w14:checkbox>
                  <w14:checked w14:val="0"/>
                  <w14:checkedState w14:val="2612" w14:font="MS Gothic"/>
                  <w14:uncheckedState w14:val="2610" w14:font="MS Gothic"/>
                </w14:checkbox>
              </w:sdtPr>
              <w:sdtEndPr/>
              <w:sdtContent>
                <w:r w:rsidR="004E1D88" w:rsidRPr="005B0EC4">
                  <w:rPr>
                    <w:rFonts w:ascii="Segoe UI Symbol" w:eastAsia="MS Gothic" w:hAnsi="Segoe UI Symbol" w:cs="Segoe UI Symbol"/>
                    <w:sz w:val="20"/>
                    <w:lang w:val="en-US"/>
                  </w:rPr>
                  <w:t>☐</w:t>
                </w:r>
              </w:sdtContent>
            </w:sdt>
            <w:r w:rsidR="004E1D88" w:rsidRPr="005B0EC4">
              <w:rPr>
                <w:sz w:val="20"/>
                <w:lang w:val="en-US"/>
              </w:rPr>
              <w:t xml:space="preserve"> Multi-level back-up approach with encrypted outsourcing of back-ups in a </w:t>
            </w:r>
            <w:proofErr w:type="spellStart"/>
            <w:r w:rsidR="004E1D88" w:rsidRPr="005B0EC4">
              <w:rPr>
                <w:sz w:val="20"/>
                <w:lang w:val="en-US"/>
              </w:rPr>
              <w:t>seperated</w:t>
            </w:r>
            <w:proofErr w:type="spellEnd"/>
            <w:r w:rsidR="004E1D88" w:rsidRPr="005B0EC4">
              <w:rPr>
                <w:sz w:val="20"/>
                <w:lang w:val="en-US"/>
              </w:rPr>
              <w:t xml:space="preserve"> data center</w:t>
            </w:r>
          </w:p>
        </w:tc>
        <w:tc>
          <w:tcPr>
            <w:tcW w:w="4531" w:type="dxa"/>
          </w:tcPr>
          <w:p w14:paraId="405CD91D" w14:textId="77777777" w:rsidR="004E1D88" w:rsidRPr="005B0EC4" w:rsidRDefault="00CE2BC7" w:rsidP="00AB5A28">
            <w:pPr>
              <w:rPr>
                <w:sz w:val="20"/>
                <w:lang w:val="en-US"/>
              </w:rPr>
            </w:pPr>
            <w:sdt>
              <w:sdtPr>
                <w:rPr>
                  <w:sz w:val="20"/>
                  <w:lang w:val="en-US"/>
                </w:rPr>
                <w:id w:val="-1188449824"/>
                <w14:checkbox>
                  <w14:checked w14:val="0"/>
                  <w14:checkedState w14:val="2612" w14:font="MS Gothic"/>
                  <w14:uncheckedState w14:val="2610" w14:font="MS Gothic"/>
                </w14:checkbox>
              </w:sdtPr>
              <w:sdtEndPr/>
              <w:sdtContent>
                <w:r w:rsidR="004E1D88" w:rsidRPr="005B0EC4">
                  <w:rPr>
                    <w:rFonts w:ascii="Segoe UI Symbol" w:eastAsia="MS Gothic" w:hAnsi="Segoe UI Symbol" w:cs="Segoe UI Symbol"/>
                    <w:sz w:val="20"/>
                    <w:lang w:val="en-US"/>
                  </w:rPr>
                  <w:t>☐</w:t>
                </w:r>
              </w:sdtContent>
            </w:sdt>
            <w:r w:rsidR="004E1D88" w:rsidRPr="005B0EC4">
              <w:rPr>
                <w:sz w:val="20"/>
                <w:lang w:val="en-US"/>
              </w:rPr>
              <w:t xml:space="preserve"> S</w:t>
            </w:r>
            <w:proofErr w:type="spellStart"/>
            <w:r w:rsidR="004E1D88" w:rsidRPr="0008257C">
              <w:rPr>
                <w:sz w:val="20"/>
                <w:lang w:val="en-GB"/>
              </w:rPr>
              <w:t>tandard</w:t>
            </w:r>
            <w:proofErr w:type="spellEnd"/>
            <w:r w:rsidR="004E1D88" w:rsidRPr="0008257C">
              <w:rPr>
                <w:sz w:val="20"/>
                <w:lang w:val="en-GB"/>
              </w:rPr>
              <w:t xml:space="preserve"> procedures for staff changes </w:t>
            </w:r>
          </w:p>
        </w:tc>
      </w:tr>
      <w:tr w:rsidR="004E1D88" w:rsidRPr="0008257C" w14:paraId="3C36FF4C" w14:textId="77777777" w:rsidTr="00AB5A28">
        <w:tc>
          <w:tcPr>
            <w:tcW w:w="4531" w:type="dxa"/>
          </w:tcPr>
          <w:p w14:paraId="780A54C1" w14:textId="77777777" w:rsidR="004E1D88" w:rsidRPr="0008257C" w:rsidRDefault="00CE2BC7" w:rsidP="00AB5A28">
            <w:pPr>
              <w:jc w:val="both"/>
              <w:rPr>
                <w:sz w:val="20"/>
              </w:rPr>
            </w:pPr>
            <w:sdt>
              <w:sdtPr>
                <w:rPr>
                  <w:sz w:val="20"/>
                </w:rPr>
                <w:id w:val="1304509321"/>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Other(s):</w:t>
            </w:r>
          </w:p>
        </w:tc>
        <w:tc>
          <w:tcPr>
            <w:tcW w:w="4531" w:type="dxa"/>
          </w:tcPr>
          <w:p w14:paraId="3F62612E" w14:textId="77777777" w:rsidR="004E1D88" w:rsidRPr="0008257C" w:rsidRDefault="004E1D88" w:rsidP="00AB5A28">
            <w:pPr>
              <w:jc w:val="both"/>
              <w:rPr>
                <w:sz w:val="20"/>
              </w:rPr>
            </w:pPr>
          </w:p>
        </w:tc>
      </w:tr>
    </w:tbl>
    <w:p w14:paraId="24ECDB6E" w14:textId="77777777" w:rsidR="004E1D88" w:rsidRPr="0008257C" w:rsidRDefault="004E1D88" w:rsidP="004E1D88">
      <w:pPr>
        <w:spacing w:line="240" w:lineRule="auto"/>
        <w:jc w:val="both"/>
        <w:rPr>
          <w:sz w:val="20"/>
          <w:lang w:val="en-GB"/>
        </w:rPr>
      </w:pPr>
    </w:p>
    <w:p w14:paraId="2DAAD61E" w14:textId="77777777" w:rsidR="004E1D88" w:rsidRPr="0008257C" w:rsidRDefault="004E1D88" w:rsidP="004E1D88">
      <w:pPr>
        <w:spacing w:line="240" w:lineRule="auto"/>
        <w:jc w:val="both"/>
        <w:rPr>
          <w:sz w:val="20"/>
          <w:lang w:val="en-GB"/>
        </w:rPr>
      </w:pPr>
      <w:r w:rsidRPr="0008257C">
        <w:rPr>
          <w:b/>
          <w:sz w:val="20"/>
          <w:lang w:val="en-GB"/>
        </w:rPr>
        <w:t>Rapid</w:t>
      </w:r>
      <w:r w:rsidRPr="0008257C">
        <w:rPr>
          <w:sz w:val="20"/>
          <w:lang w:val="en-GB"/>
        </w:rPr>
        <w:t xml:space="preserve"> </w:t>
      </w:r>
      <w:r w:rsidRPr="0008257C">
        <w:rPr>
          <w:b/>
          <w:sz w:val="20"/>
          <w:lang w:val="en-GB"/>
        </w:rPr>
        <w:t>recoverability</w:t>
      </w:r>
    </w:p>
    <w:tbl>
      <w:tblPr>
        <w:tblStyle w:val="Tabellenraster"/>
        <w:tblW w:w="0" w:type="auto"/>
        <w:tblLook w:val="04A0" w:firstRow="1" w:lastRow="0" w:firstColumn="1" w:lastColumn="0" w:noHBand="0" w:noVBand="1"/>
      </w:tblPr>
      <w:tblGrid>
        <w:gridCol w:w="4530"/>
        <w:gridCol w:w="4530"/>
      </w:tblGrid>
      <w:tr w:rsidR="004E1D88" w:rsidRPr="0008257C" w14:paraId="67CD73DC" w14:textId="77777777" w:rsidTr="00AB5A28">
        <w:tc>
          <w:tcPr>
            <w:tcW w:w="4531" w:type="dxa"/>
          </w:tcPr>
          <w:p w14:paraId="0DE4F77F" w14:textId="77777777" w:rsidR="004E1D88" w:rsidRPr="0008257C" w:rsidRDefault="00CE2BC7" w:rsidP="00AB5A28">
            <w:pPr>
              <w:rPr>
                <w:sz w:val="20"/>
                <w:lang w:val="en-GB"/>
              </w:rPr>
            </w:pPr>
            <w:sdt>
              <w:sdtPr>
                <w:rPr>
                  <w:sz w:val="20"/>
                  <w:lang w:val="en-GB"/>
                </w:rPr>
                <w:id w:val="-257749776"/>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lang w:val="en-GB"/>
                  </w:rPr>
                  <w:t>☐</w:t>
                </w:r>
              </w:sdtContent>
            </w:sdt>
            <w:r w:rsidR="004E1D88" w:rsidRPr="0008257C">
              <w:rPr>
                <w:sz w:val="20"/>
                <w:lang w:val="en-GB"/>
              </w:rPr>
              <w:t xml:space="preserve"> Yes</w:t>
            </w:r>
          </w:p>
        </w:tc>
        <w:tc>
          <w:tcPr>
            <w:tcW w:w="4531" w:type="dxa"/>
          </w:tcPr>
          <w:p w14:paraId="23F77843" w14:textId="77777777" w:rsidR="004E1D88" w:rsidRPr="0008257C" w:rsidRDefault="00CE2BC7" w:rsidP="00AB5A28">
            <w:pPr>
              <w:rPr>
                <w:sz w:val="20"/>
                <w:lang w:val="en-GB"/>
              </w:rPr>
            </w:pPr>
            <w:sdt>
              <w:sdtPr>
                <w:rPr>
                  <w:sz w:val="20"/>
                  <w:lang w:val="en-GB"/>
                </w:rPr>
                <w:id w:val="-1463500808"/>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No</w:t>
            </w:r>
          </w:p>
        </w:tc>
      </w:tr>
    </w:tbl>
    <w:p w14:paraId="4FE2B0BD" w14:textId="61B86D92" w:rsidR="004E1D88" w:rsidRDefault="004E1D88" w:rsidP="004E1D88">
      <w:pPr>
        <w:pStyle w:val="berschrift2"/>
        <w:spacing w:before="0" w:after="0" w:line="240" w:lineRule="auto"/>
        <w:ind w:left="397" w:hanging="397"/>
        <w:rPr>
          <w:rFonts w:ascii="Trebuchet MS" w:hAnsi="Trebuchet MS"/>
          <w:sz w:val="20"/>
          <w:lang w:val="en-GB"/>
        </w:rPr>
      </w:pPr>
    </w:p>
    <w:p w14:paraId="7B5057C5" w14:textId="77777777" w:rsidR="00F50711" w:rsidRPr="00F50711" w:rsidRDefault="00F50711" w:rsidP="00F50711">
      <w:pPr>
        <w:rPr>
          <w:lang w:val="en-GB"/>
        </w:rPr>
      </w:pPr>
    </w:p>
    <w:p w14:paraId="46A31921" w14:textId="77777777" w:rsidR="004E1D88" w:rsidRPr="0008257C" w:rsidRDefault="004E1D88" w:rsidP="004E1D88">
      <w:pPr>
        <w:pStyle w:val="berschrift2"/>
        <w:spacing w:before="0" w:after="0" w:line="240" w:lineRule="auto"/>
        <w:ind w:left="397" w:hanging="397"/>
        <w:rPr>
          <w:rFonts w:ascii="Trebuchet MS" w:hAnsi="Trebuchet MS"/>
          <w:sz w:val="20"/>
          <w:szCs w:val="22"/>
          <w:lang w:val="en-GB"/>
        </w:rPr>
      </w:pPr>
      <w:r w:rsidRPr="0008257C">
        <w:rPr>
          <w:rFonts w:ascii="Trebuchet MS" w:hAnsi="Trebuchet MS"/>
          <w:sz w:val="20"/>
          <w:lang w:val="en-GB"/>
        </w:rPr>
        <w:t>D. Procedures for regular testing, assessing and evaluating</w:t>
      </w:r>
    </w:p>
    <w:p w14:paraId="7A07D1FD" w14:textId="77777777" w:rsidR="004E1D88" w:rsidRPr="0008257C" w:rsidRDefault="004E1D88" w:rsidP="004E1D88">
      <w:pPr>
        <w:rPr>
          <w:sz w:val="20"/>
          <w:lang w:val="en-GB"/>
        </w:rPr>
      </w:pPr>
    </w:p>
    <w:p w14:paraId="190FD04C" w14:textId="77777777" w:rsidR="004E1D88" w:rsidRPr="0008257C" w:rsidRDefault="004E1D88" w:rsidP="004E1D88">
      <w:pPr>
        <w:spacing w:line="240" w:lineRule="auto"/>
        <w:jc w:val="both"/>
        <w:rPr>
          <w:sz w:val="20"/>
          <w:lang w:val="en-GB"/>
        </w:rPr>
      </w:pPr>
      <w:r w:rsidRPr="0008257C">
        <w:rPr>
          <w:b/>
          <w:sz w:val="20"/>
          <w:lang w:val="en-GB"/>
        </w:rPr>
        <w:t>Data protection management</w:t>
      </w:r>
      <w:r w:rsidRPr="0008257C">
        <w:rPr>
          <w:sz w:val="20"/>
          <w:lang w:val="en-GB"/>
        </w:rPr>
        <w:t>, including regular employee training courses:</w:t>
      </w:r>
    </w:p>
    <w:tbl>
      <w:tblPr>
        <w:tblStyle w:val="Tabellenraster"/>
        <w:tblW w:w="0" w:type="auto"/>
        <w:tblLook w:val="04A0" w:firstRow="1" w:lastRow="0" w:firstColumn="1" w:lastColumn="0" w:noHBand="0" w:noVBand="1"/>
      </w:tblPr>
      <w:tblGrid>
        <w:gridCol w:w="4530"/>
        <w:gridCol w:w="4530"/>
      </w:tblGrid>
      <w:tr w:rsidR="004E1D88" w:rsidRPr="0008257C" w14:paraId="305194B7" w14:textId="77777777" w:rsidTr="00AB5A28">
        <w:tc>
          <w:tcPr>
            <w:tcW w:w="4531" w:type="dxa"/>
          </w:tcPr>
          <w:p w14:paraId="0EB6B0FB" w14:textId="77777777" w:rsidR="004E1D88" w:rsidRPr="0008257C" w:rsidRDefault="00CE2BC7" w:rsidP="00AB5A28">
            <w:pPr>
              <w:rPr>
                <w:sz w:val="20"/>
                <w:lang w:val="en-GB"/>
              </w:rPr>
            </w:pPr>
            <w:sdt>
              <w:sdtPr>
                <w:rPr>
                  <w:sz w:val="20"/>
                  <w:lang w:val="en-GB"/>
                </w:rPr>
                <w:id w:val="742922927"/>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Yes</w:t>
            </w:r>
          </w:p>
        </w:tc>
        <w:tc>
          <w:tcPr>
            <w:tcW w:w="4531" w:type="dxa"/>
          </w:tcPr>
          <w:p w14:paraId="11B03799" w14:textId="77777777" w:rsidR="004E1D88" w:rsidRPr="0008257C" w:rsidRDefault="00CE2BC7" w:rsidP="00AB5A28">
            <w:pPr>
              <w:rPr>
                <w:sz w:val="20"/>
                <w:lang w:val="en-GB"/>
              </w:rPr>
            </w:pPr>
            <w:sdt>
              <w:sdtPr>
                <w:rPr>
                  <w:sz w:val="20"/>
                  <w:lang w:val="en-GB"/>
                </w:rPr>
                <w:id w:val="-201872385"/>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No</w:t>
            </w:r>
          </w:p>
        </w:tc>
      </w:tr>
    </w:tbl>
    <w:p w14:paraId="44C309CC" w14:textId="77777777" w:rsidR="004E1D88" w:rsidRPr="0008257C" w:rsidRDefault="004E1D88" w:rsidP="004E1D88">
      <w:pPr>
        <w:spacing w:line="240" w:lineRule="auto"/>
        <w:jc w:val="both"/>
        <w:rPr>
          <w:b/>
          <w:sz w:val="20"/>
          <w:lang w:val="en-GB"/>
        </w:rPr>
      </w:pPr>
    </w:p>
    <w:p w14:paraId="095B9E5F" w14:textId="77777777" w:rsidR="004E1D88" w:rsidRPr="0008257C" w:rsidRDefault="004E1D88" w:rsidP="004E1D88">
      <w:pPr>
        <w:spacing w:line="240" w:lineRule="auto"/>
        <w:jc w:val="both"/>
        <w:rPr>
          <w:sz w:val="20"/>
          <w:lang w:val="en-GB"/>
        </w:rPr>
      </w:pPr>
      <w:r w:rsidRPr="0008257C">
        <w:rPr>
          <w:b/>
          <w:sz w:val="20"/>
          <w:lang w:val="en-GB"/>
        </w:rPr>
        <w:t>Incident response management</w:t>
      </w:r>
      <w:r w:rsidRPr="0008257C">
        <w:rPr>
          <w:sz w:val="20"/>
          <w:lang w:val="en-GB"/>
        </w:rPr>
        <w:t>:</w:t>
      </w:r>
    </w:p>
    <w:tbl>
      <w:tblPr>
        <w:tblStyle w:val="Tabellenraster"/>
        <w:tblW w:w="0" w:type="auto"/>
        <w:tblLook w:val="04A0" w:firstRow="1" w:lastRow="0" w:firstColumn="1" w:lastColumn="0" w:noHBand="0" w:noVBand="1"/>
      </w:tblPr>
      <w:tblGrid>
        <w:gridCol w:w="4530"/>
        <w:gridCol w:w="4530"/>
      </w:tblGrid>
      <w:tr w:rsidR="004E1D88" w:rsidRPr="0008257C" w14:paraId="3190D610" w14:textId="77777777" w:rsidTr="00AB5A28">
        <w:tc>
          <w:tcPr>
            <w:tcW w:w="4531" w:type="dxa"/>
          </w:tcPr>
          <w:p w14:paraId="1AD74C06" w14:textId="77777777" w:rsidR="004E1D88" w:rsidRPr="0008257C" w:rsidRDefault="00CE2BC7" w:rsidP="00AB5A28">
            <w:pPr>
              <w:rPr>
                <w:sz w:val="20"/>
                <w:lang w:val="en-GB"/>
              </w:rPr>
            </w:pPr>
            <w:sdt>
              <w:sdtPr>
                <w:rPr>
                  <w:sz w:val="20"/>
                  <w:lang w:val="en-GB"/>
                </w:rPr>
                <w:id w:val="-257674954"/>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Yes</w:t>
            </w:r>
          </w:p>
        </w:tc>
        <w:tc>
          <w:tcPr>
            <w:tcW w:w="4531" w:type="dxa"/>
          </w:tcPr>
          <w:p w14:paraId="508C4DC8" w14:textId="77777777" w:rsidR="004E1D88" w:rsidRPr="0008257C" w:rsidRDefault="00CE2BC7" w:rsidP="00AB5A28">
            <w:pPr>
              <w:rPr>
                <w:sz w:val="20"/>
                <w:lang w:val="en-GB"/>
              </w:rPr>
            </w:pPr>
            <w:sdt>
              <w:sdtPr>
                <w:rPr>
                  <w:sz w:val="20"/>
                  <w:lang w:val="en-GB"/>
                </w:rPr>
                <w:id w:val="817299178"/>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No</w:t>
            </w:r>
          </w:p>
        </w:tc>
      </w:tr>
    </w:tbl>
    <w:p w14:paraId="1C70E693" w14:textId="77777777" w:rsidR="004E1D88" w:rsidRPr="0008257C" w:rsidRDefault="004E1D88" w:rsidP="004E1D88">
      <w:pPr>
        <w:spacing w:line="240" w:lineRule="auto"/>
        <w:jc w:val="both"/>
        <w:rPr>
          <w:b/>
          <w:sz w:val="20"/>
          <w:lang w:val="en-GB"/>
        </w:rPr>
      </w:pPr>
    </w:p>
    <w:p w14:paraId="324A692C" w14:textId="77777777" w:rsidR="004E1D88" w:rsidRPr="0008257C" w:rsidRDefault="004E1D88" w:rsidP="004E1D88">
      <w:pPr>
        <w:spacing w:line="240" w:lineRule="auto"/>
        <w:jc w:val="both"/>
        <w:rPr>
          <w:sz w:val="20"/>
          <w:lang w:val="en-GB"/>
        </w:rPr>
      </w:pPr>
      <w:r w:rsidRPr="0008257C">
        <w:rPr>
          <w:b/>
          <w:sz w:val="20"/>
          <w:lang w:val="en-GB"/>
        </w:rPr>
        <w:t>Data protection by design</w:t>
      </w:r>
      <w:r w:rsidRPr="0008257C">
        <w:rPr>
          <w:sz w:val="20"/>
          <w:lang w:val="en-GB"/>
        </w:rPr>
        <w:t>:</w:t>
      </w:r>
    </w:p>
    <w:tbl>
      <w:tblPr>
        <w:tblStyle w:val="Tabellenraster"/>
        <w:tblW w:w="0" w:type="auto"/>
        <w:tblLook w:val="04A0" w:firstRow="1" w:lastRow="0" w:firstColumn="1" w:lastColumn="0" w:noHBand="0" w:noVBand="1"/>
      </w:tblPr>
      <w:tblGrid>
        <w:gridCol w:w="4530"/>
        <w:gridCol w:w="4530"/>
      </w:tblGrid>
      <w:tr w:rsidR="004E1D88" w:rsidRPr="0008257C" w14:paraId="057E7764" w14:textId="77777777" w:rsidTr="00AB5A28">
        <w:tc>
          <w:tcPr>
            <w:tcW w:w="4531" w:type="dxa"/>
          </w:tcPr>
          <w:p w14:paraId="6BB199AB" w14:textId="77777777" w:rsidR="004E1D88" w:rsidRPr="0008257C" w:rsidRDefault="00CE2BC7" w:rsidP="00AB5A28">
            <w:pPr>
              <w:rPr>
                <w:sz w:val="20"/>
                <w:lang w:val="en-GB"/>
              </w:rPr>
            </w:pPr>
            <w:sdt>
              <w:sdtPr>
                <w:rPr>
                  <w:sz w:val="20"/>
                  <w:lang w:val="en-GB"/>
                </w:rPr>
                <w:id w:val="-1264072113"/>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Yes</w:t>
            </w:r>
          </w:p>
        </w:tc>
        <w:tc>
          <w:tcPr>
            <w:tcW w:w="4531" w:type="dxa"/>
          </w:tcPr>
          <w:p w14:paraId="1761296A" w14:textId="77777777" w:rsidR="004E1D88" w:rsidRPr="0008257C" w:rsidRDefault="00CE2BC7" w:rsidP="00AB5A28">
            <w:pPr>
              <w:rPr>
                <w:sz w:val="20"/>
                <w:lang w:val="en-GB"/>
              </w:rPr>
            </w:pPr>
            <w:sdt>
              <w:sdtPr>
                <w:rPr>
                  <w:sz w:val="20"/>
                  <w:lang w:val="en-GB"/>
                </w:rPr>
                <w:id w:val="-1401982979"/>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lang w:val="en-GB"/>
                  </w:rPr>
                  <w:t>☐</w:t>
                </w:r>
              </w:sdtContent>
            </w:sdt>
            <w:r w:rsidR="004E1D88" w:rsidRPr="0008257C">
              <w:rPr>
                <w:sz w:val="20"/>
                <w:lang w:val="en-GB"/>
              </w:rPr>
              <w:t xml:space="preserve"> No</w:t>
            </w:r>
          </w:p>
        </w:tc>
      </w:tr>
    </w:tbl>
    <w:p w14:paraId="5FB6ED6D" w14:textId="77777777" w:rsidR="004E1D88" w:rsidRPr="0008257C" w:rsidRDefault="004E1D88" w:rsidP="004E1D88">
      <w:pPr>
        <w:spacing w:line="240" w:lineRule="auto"/>
        <w:jc w:val="both"/>
        <w:rPr>
          <w:b/>
          <w:sz w:val="20"/>
          <w:lang w:val="en-GB"/>
        </w:rPr>
      </w:pPr>
    </w:p>
    <w:p w14:paraId="07BF4DFC" w14:textId="77777777" w:rsidR="004E1D88" w:rsidRPr="0008257C" w:rsidRDefault="004E1D88" w:rsidP="004E1D88">
      <w:pPr>
        <w:spacing w:line="240" w:lineRule="auto"/>
        <w:jc w:val="both"/>
        <w:rPr>
          <w:sz w:val="20"/>
          <w:lang w:val="en-GB"/>
        </w:rPr>
      </w:pPr>
      <w:r w:rsidRPr="0008257C">
        <w:rPr>
          <w:b/>
          <w:sz w:val="20"/>
          <w:lang w:val="en-GB"/>
        </w:rPr>
        <w:t xml:space="preserve">Data processing control: </w:t>
      </w:r>
      <w:r w:rsidRPr="0008257C">
        <w:rPr>
          <w:sz w:val="20"/>
          <w:lang w:val="en-GB"/>
        </w:rPr>
        <w:t>No data processing in the sense of Art. 28 GDPR without specific instruction by the client</w:t>
      </w:r>
      <w:r w:rsidRPr="005B0EC4">
        <w:rPr>
          <w:sz w:val="20"/>
          <w:lang w:val="en-US"/>
        </w:rPr>
        <w:t xml:space="preserve"> </w:t>
      </w:r>
      <w:r w:rsidRPr="0008257C">
        <w:rPr>
          <w:sz w:val="20"/>
          <w:lang w:val="en-GB"/>
        </w:rPr>
        <w:t>through:</w:t>
      </w:r>
    </w:p>
    <w:tbl>
      <w:tblPr>
        <w:tblStyle w:val="Tabellenraster6"/>
        <w:tblW w:w="0" w:type="auto"/>
        <w:tblLook w:val="04A0" w:firstRow="1" w:lastRow="0" w:firstColumn="1" w:lastColumn="0" w:noHBand="0" w:noVBand="1"/>
      </w:tblPr>
      <w:tblGrid>
        <w:gridCol w:w="4530"/>
        <w:gridCol w:w="4530"/>
      </w:tblGrid>
      <w:tr w:rsidR="004E1D88" w:rsidRPr="0008257C" w14:paraId="55E054CB" w14:textId="77777777" w:rsidTr="00AB5A28">
        <w:tc>
          <w:tcPr>
            <w:tcW w:w="4531" w:type="dxa"/>
          </w:tcPr>
          <w:p w14:paraId="511F78CA" w14:textId="77777777" w:rsidR="004E1D88" w:rsidRPr="0008257C" w:rsidRDefault="00CE2BC7" w:rsidP="00AB5A28">
            <w:pPr>
              <w:spacing w:line="280" w:lineRule="atLeast"/>
              <w:rPr>
                <w:sz w:val="20"/>
              </w:rPr>
            </w:pPr>
            <w:sdt>
              <w:sdtPr>
                <w:rPr>
                  <w:sz w:val="20"/>
                </w:rPr>
                <w:id w:val="-455866759"/>
                <w14:checkbox>
                  <w14:checked w14:val="0"/>
                  <w14:checkedState w14:val="2612" w14:font="MS Gothic"/>
                  <w14:uncheckedState w14:val="2610" w14:font="MS Gothic"/>
                </w14:checkbox>
              </w:sdtPr>
              <w:sdtEndPr/>
              <w:sdtContent>
                <w:r w:rsidR="004E1D88" w:rsidRPr="0008257C">
                  <w:rPr>
                    <w:rFonts w:ascii="MS Gothic" w:eastAsia="MS Gothic" w:hAnsi="MS Gothic" w:hint="eastAsia"/>
                    <w:sz w:val="20"/>
                  </w:rPr>
                  <w:t>☐</w:t>
                </w:r>
              </w:sdtContent>
            </w:sdt>
            <w:r w:rsidR="004E1D88" w:rsidRPr="0008257C">
              <w:rPr>
                <w:sz w:val="20"/>
              </w:rPr>
              <w:t xml:space="preserve"> </w:t>
            </w:r>
            <w:r w:rsidR="004E1D88" w:rsidRPr="0008257C">
              <w:rPr>
                <w:sz w:val="20"/>
                <w:lang w:val="en-GB"/>
              </w:rPr>
              <w:t>Definitive contract design</w:t>
            </w:r>
          </w:p>
        </w:tc>
        <w:tc>
          <w:tcPr>
            <w:tcW w:w="4531" w:type="dxa"/>
          </w:tcPr>
          <w:p w14:paraId="3F69B8B9" w14:textId="77777777" w:rsidR="004E1D88" w:rsidRPr="0008257C" w:rsidRDefault="00CE2BC7" w:rsidP="00AB5A28">
            <w:pPr>
              <w:spacing w:line="280" w:lineRule="atLeast"/>
              <w:jc w:val="both"/>
              <w:rPr>
                <w:sz w:val="20"/>
              </w:rPr>
            </w:pPr>
            <w:sdt>
              <w:sdtPr>
                <w:rPr>
                  <w:sz w:val="20"/>
                </w:rPr>
                <w:id w:val="-1758436316"/>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F</w:t>
            </w:r>
            <w:proofErr w:type="spellStart"/>
            <w:r w:rsidR="004E1D88" w:rsidRPr="0008257C">
              <w:rPr>
                <w:sz w:val="20"/>
                <w:lang w:val="en-GB"/>
              </w:rPr>
              <w:t>ormalized</w:t>
            </w:r>
            <w:proofErr w:type="spellEnd"/>
            <w:r w:rsidR="004E1D88" w:rsidRPr="0008257C">
              <w:rPr>
                <w:sz w:val="20"/>
                <w:lang w:val="en-GB"/>
              </w:rPr>
              <w:t xml:space="preserve"> project management</w:t>
            </w:r>
          </w:p>
        </w:tc>
      </w:tr>
      <w:tr w:rsidR="004E1D88" w:rsidRPr="0008257C" w14:paraId="4E8BA69D" w14:textId="77777777" w:rsidTr="00AB5A28">
        <w:tc>
          <w:tcPr>
            <w:tcW w:w="4531" w:type="dxa"/>
          </w:tcPr>
          <w:p w14:paraId="1A21C372" w14:textId="77777777" w:rsidR="004E1D88" w:rsidRPr="005B0EC4" w:rsidRDefault="00CE2BC7" w:rsidP="00AB5A28">
            <w:pPr>
              <w:spacing w:line="280" w:lineRule="atLeast"/>
              <w:rPr>
                <w:sz w:val="20"/>
                <w:lang w:val="en-US"/>
              </w:rPr>
            </w:pPr>
            <w:sdt>
              <w:sdtPr>
                <w:rPr>
                  <w:sz w:val="20"/>
                  <w:lang w:val="en-US"/>
                </w:rPr>
                <w:id w:val="-151831452"/>
                <w14:checkbox>
                  <w14:checked w14:val="0"/>
                  <w14:checkedState w14:val="2612" w14:font="MS Gothic"/>
                  <w14:uncheckedState w14:val="2610" w14:font="MS Gothic"/>
                </w14:checkbox>
              </w:sdtPr>
              <w:sdtEndPr/>
              <w:sdtContent>
                <w:r w:rsidR="004E1D88" w:rsidRPr="005B0EC4">
                  <w:rPr>
                    <w:rFonts w:ascii="Segoe UI Symbol" w:eastAsia="MS Gothic" w:hAnsi="Segoe UI Symbol" w:cs="Segoe UI Symbol"/>
                    <w:sz w:val="20"/>
                    <w:lang w:val="en-US"/>
                  </w:rPr>
                  <w:t>☐</w:t>
                </w:r>
              </w:sdtContent>
            </w:sdt>
            <w:r w:rsidR="004E1D88" w:rsidRPr="005B0EC4">
              <w:rPr>
                <w:sz w:val="20"/>
                <w:lang w:val="en-US"/>
              </w:rPr>
              <w:t xml:space="preserve"> </w:t>
            </w:r>
            <w:r w:rsidR="004E1D88" w:rsidRPr="0008257C">
              <w:rPr>
                <w:sz w:val="20"/>
                <w:lang w:val="en-GB"/>
              </w:rPr>
              <w:t>Strict selection of data processors (ISO-certified, ISMS)</w:t>
            </w:r>
          </w:p>
        </w:tc>
        <w:tc>
          <w:tcPr>
            <w:tcW w:w="4531" w:type="dxa"/>
          </w:tcPr>
          <w:p w14:paraId="1C539BC5" w14:textId="77777777" w:rsidR="004E1D88" w:rsidRPr="0008257C" w:rsidRDefault="00CE2BC7" w:rsidP="00AB5A28">
            <w:pPr>
              <w:spacing w:line="280" w:lineRule="atLeast"/>
              <w:jc w:val="both"/>
              <w:rPr>
                <w:sz w:val="20"/>
              </w:rPr>
            </w:pPr>
            <w:sdt>
              <w:sdtPr>
                <w:rPr>
                  <w:sz w:val="20"/>
                </w:rPr>
                <w:id w:val="-1944141362"/>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D</w:t>
            </w:r>
            <w:proofErr w:type="spellStart"/>
            <w:r w:rsidR="004E1D88" w:rsidRPr="0008257C">
              <w:rPr>
                <w:sz w:val="20"/>
                <w:lang w:val="en-GB"/>
              </w:rPr>
              <w:t>ue</w:t>
            </w:r>
            <w:proofErr w:type="spellEnd"/>
            <w:r w:rsidR="004E1D88" w:rsidRPr="0008257C">
              <w:rPr>
                <w:sz w:val="20"/>
                <w:lang w:val="en-GB"/>
              </w:rPr>
              <w:t xml:space="preserve"> diligence</w:t>
            </w:r>
          </w:p>
        </w:tc>
      </w:tr>
      <w:tr w:rsidR="004E1D88" w:rsidRPr="0008257C" w14:paraId="47E04E8B" w14:textId="77777777" w:rsidTr="00AB5A28">
        <w:tc>
          <w:tcPr>
            <w:tcW w:w="4531" w:type="dxa"/>
          </w:tcPr>
          <w:p w14:paraId="5E83AAE7" w14:textId="77777777" w:rsidR="004E1D88" w:rsidRPr="0008257C" w:rsidRDefault="00CE2BC7" w:rsidP="00AB5A28">
            <w:pPr>
              <w:spacing w:line="280" w:lineRule="atLeast"/>
              <w:jc w:val="both"/>
              <w:rPr>
                <w:sz w:val="20"/>
              </w:rPr>
            </w:pPr>
            <w:sdt>
              <w:sdtPr>
                <w:rPr>
                  <w:sz w:val="20"/>
                </w:rPr>
                <w:id w:val="184034424"/>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w:t>
            </w:r>
            <w:r w:rsidR="004E1D88" w:rsidRPr="0008257C">
              <w:rPr>
                <w:sz w:val="20"/>
                <w:lang w:val="en-GB"/>
              </w:rPr>
              <w:t>Follow-up checks</w:t>
            </w:r>
          </w:p>
        </w:tc>
        <w:tc>
          <w:tcPr>
            <w:tcW w:w="4531" w:type="dxa"/>
          </w:tcPr>
          <w:p w14:paraId="7C403FE6" w14:textId="77777777" w:rsidR="004E1D88" w:rsidRPr="0008257C" w:rsidRDefault="00CE2BC7" w:rsidP="00AB5A28">
            <w:pPr>
              <w:spacing w:line="280" w:lineRule="atLeast"/>
              <w:jc w:val="both"/>
              <w:rPr>
                <w:sz w:val="20"/>
              </w:rPr>
            </w:pPr>
            <w:sdt>
              <w:sdtPr>
                <w:rPr>
                  <w:sz w:val="20"/>
                </w:rPr>
                <w:id w:val="-1483536947"/>
                <w14:checkbox>
                  <w14:checked w14:val="0"/>
                  <w14:checkedState w14:val="2612" w14:font="MS Gothic"/>
                  <w14:uncheckedState w14:val="2610" w14:font="MS Gothic"/>
                </w14:checkbox>
              </w:sdtPr>
              <w:sdtEndPr/>
              <w:sdtContent>
                <w:r w:rsidR="004E1D88" w:rsidRPr="0008257C">
                  <w:rPr>
                    <w:rFonts w:ascii="Segoe UI Symbol" w:eastAsia="MS Gothic" w:hAnsi="Segoe UI Symbol" w:cs="Segoe UI Symbol"/>
                    <w:sz w:val="20"/>
                  </w:rPr>
                  <w:t>☐</w:t>
                </w:r>
              </w:sdtContent>
            </w:sdt>
            <w:r w:rsidR="004E1D88" w:rsidRPr="0008257C">
              <w:rPr>
                <w:sz w:val="20"/>
              </w:rPr>
              <w:t xml:space="preserve"> Other:</w:t>
            </w:r>
          </w:p>
        </w:tc>
      </w:tr>
    </w:tbl>
    <w:p w14:paraId="03320B3C" w14:textId="77777777" w:rsidR="004E1D88" w:rsidRPr="0008257C" w:rsidRDefault="004E1D88" w:rsidP="004E1D88">
      <w:pPr>
        <w:spacing w:line="240" w:lineRule="auto"/>
        <w:jc w:val="both"/>
        <w:rPr>
          <w:sz w:val="20"/>
          <w:lang w:val="en-GB"/>
        </w:rPr>
      </w:pPr>
    </w:p>
    <w:p w14:paraId="31E59D04" w14:textId="77777777" w:rsidR="00DD7D20" w:rsidRPr="0082518E" w:rsidRDefault="00DD7D20" w:rsidP="004E1D88">
      <w:pPr>
        <w:shd w:val="clear" w:color="auto" w:fill="FFFFFF"/>
        <w:spacing w:line="240" w:lineRule="auto"/>
        <w:jc w:val="both"/>
        <w:rPr>
          <w:lang w:val="de-AT"/>
        </w:rPr>
      </w:pPr>
    </w:p>
    <w:sectPr w:rsidR="00DD7D20" w:rsidRPr="0082518E" w:rsidSect="004E1D88">
      <w:pgSz w:w="11906" w:h="16838"/>
      <w:pgMar w:top="1985"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943B" w14:textId="77777777" w:rsidR="00692215" w:rsidRDefault="00692215" w:rsidP="00DD7D20">
      <w:pPr>
        <w:spacing w:line="240" w:lineRule="auto"/>
      </w:pPr>
      <w:r>
        <w:separator/>
      </w:r>
    </w:p>
  </w:endnote>
  <w:endnote w:type="continuationSeparator" w:id="0">
    <w:p w14:paraId="4C9AE3D1" w14:textId="77777777" w:rsidR="00692215" w:rsidRDefault="00692215"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A538" w14:textId="77777777" w:rsidR="00AB5A28" w:rsidRDefault="00AB5A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81F7" w14:textId="77777777" w:rsidR="00AB5A28" w:rsidRDefault="00AB5A2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6C36" w14:textId="77777777" w:rsidR="00AB5A28" w:rsidRDefault="00AB5A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276F" w14:textId="77777777" w:rsidR="00692215" w:rsidRDefault="00692215" w:rsidP="00DD7D20">
      <w:pPr>
        <w:spacing w:line="240" w:lineRule="auto"/>
      </w:pPr>
      <w:r>
        <w:separator/>
      </w:r>
    </w:p>
  </w:footnote>
  <w:footnote w:type="continuationSeparator" w:id="0">
    <w:p w14:paraId="0930837B" w14:textId="77777777" w:rsidR="00692215" w:rsidRDefault="00692215" w:rsidP="00DD7D20">
      <w:pPr>
        <w:spacing w:line="240" w:lineRule="auto"/>
      </w:pPr>
      <w:r>
        <w:continuationSeparator/>
      </w:r>
    </w:p>
  </w:footnote>
  <w:footnote w:id="1">
    <w:p w14:paraId="07C87377" w14:textId="77777777" w:rsidR="002B35A2" w:rsidRPr="00182C18" w:rsidRDefault="002B35A2" w:rsidP="002B35A2">
      <w:pPr>
        <w:pStyle w:val="Funotentext"/>
        <w:rPr>
          <w:lang w:val="de-AT"/>
        </w:rPr>
      </w:pPr>
      <w:r w:rsidRPr="00182C18">
        <w:rPr>
          <w:rStyle w:val="Funotenzeichen"/>
        </w:rPr>
        <w:footnoteRef/>
      </w:r>
      <w:r w:rsidRPr="00182C18">
        <w:t xml:space="preserve"> </w:t>
      </w:r>
      <w:r w:rsidRPr="00182C18">
        <w:rPr>
          <w:lang w:val="de-AT"/>
        </w:rPr>
        <w:t>Auch als bearbeitbare Datei verfügbar.</w:t>
      </w:r>
    </w:p>
  </w:footnote>
  <w:footnote w:id="2">
    <w:p w14:paraId="656D3E75" w14:textId="77777777" w:rsidR="00AB5A28" w:rsidRPr="005B0EC4" w:rsidRDefault="00AB5A28" w:rsidP="004E1D88">
      <w:pPr>
        <w:pStyle w:val="Funotentext"/>
        <w:spacing w:line="240" w:lineRule="auto"/>
        <w:rPr>
          <w:lang w:val="en-US"/>
        </w:rPr>
      </w:pPr>
      <w:r>
        <w:rPr>
          <w:rStyle w:val="Funotenzeichen"/>
        </w:rPr>
        <w:footnoteRef/>
      </w:r>
      <w:r w:rsidRPr="005B0EC4">
        <w:rPr>
          <w:lang w:val="en-US"/>
        </w:rPr>
        <w:t xml:space="preserve"> Please delete as appropriate.</w:t>
      </w:r>
    </w:p>
  </w:footnote>
  <w:footnote w:id="3">
    <w:p w14:paraId="04B23FED" w14:textId="7D2460D6" w:rsidR="00AB5A28" w:rsidRPr="00656E2C" w:rsidRDefault="00AB5A28" w:rsidP="004E1D88">
      <w:pPr>
        <w:pStyle w:val="Funotentext"/>
        <w:spacing w:line="240" w:lineRule="auto"/>
        <w:rPr>
          <w:lang w:val="en-US"/>
        </w:rPr>
      </w:pPr>
      <w:r>
        <w:rPr>
          <w:rStyle w:val="Funotenzeichen"/>
        </w:rPr>
        <w:footnoteRef/>
      </w:r>
      <w:r w:rsidRPr="005B0EC4">
        <w:rPr>
          <w:lang w:val="en-US"/>
        </w:rPr>
        <w:t xml:space="preserve"> Please delete as appropriate</w:t>
      </w:r>
      <w:r w:rsidRPr="00656E2C">
        <w:rPr>
          <w:lang w:val="en-US"/>
        </w:rPr>
        <w:t>.</w:t>
      </w:r>
      <w:r w:rsidR="0006089B" w:rsidRPr="00656E2C">
        <w:rPr>
          <w:lang w:val="en-US"/>
        </w:rPr>
        <w:t xml:space="preserve"> Sub-processors should also be based in Austria for this template.</w:t>
      </w:r>
    </w:p>
  </w:footnote>
  <w:footnote w:id="4">
    <w:p w14:paraId="454B1CD2" w14:textId="77777777" w:rsidR="00AB5A28" w:rsidRPr="005B0EC4" w:rsidRDefault="00AB5A28" w:rsidP="004E1D88">
      <w:pPr>
        <w:pStyle w:val="Funotentext"/>
        <w:spacing w:line="240" w:lineRule="auto"/>
        <w:rPr>
          <w:lang w:val="en-US"/>
        </w:rPr>
      </w:pPr>
      <w:r>
        <w:rPr>
          <w:rStyle w:val="Funotenzeichen"/>
        </w:rPr>
        <w:footnoteRef/>
      </w:r>
      <w:r w:rsidRPr="005B0EC4">
        <w:rPr>
          <w:lang w:val="en-US"/>
        </w:rPr>
        <w:t xml:space="preserve"> Adapt according to the existing technical-organizational circumstances.</w:t>
      </w:r>
    </w:p>
  </w:footnote>
  <w:footnote w:id="5">
    <w:p w14:paraId="6D9D8731" w14:textId="77777777" w:rsidR="00AB5A28" w:rsidRPr="005B0EC4" w:rsidRDefault="00AB5A28" w:rsidP="004E1D88">
      <w:pPr>
        <w:pStyle w:val="Funotentext"/>
        <w:spacing w:line="240" w:lineRule="auto"/>
        <w:ind w:left="142" w:hanging="142"/>
        <w:rPr>
          <w:lang w:val="en-US"/>
        </w:rPr>
      </w:pPr>
      <w:r>
        <w:rPr>
          <w:rStyle w:val="Funotenzeichen"/>
        </w:rPr>
        <w:footnoteRef/>
      </w:r>
      <w:r w:rsidRPr="005B0EC4">
        <w:rPr>
          <w:lang w:val="en-US"/>
        </w:rPr>
        <w:t xml:space="preserve"> Prevention of (accidental) destruction, (accidental) damage, (accidental) loss, (accidental) changes of personal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8781" w14:textId="77777777" w:rsidR="00AB5A28" w:rsidRDefault="00CE2BC7">
    <w:pPr>
      <w:pStyle w:val="Kopfzeile"/>
    </w:pPr>
    <w:r>
      <w:rPr>
        <w:noProof/>
      </w:rPr>
      <w:pict w14:anchorId="5457D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9" o:spid="_x0000_s1026" type="#_x0000_t136" style="position:absolute;margin-left:0;margin-top:0;width:479.55pt;height:159.85pt;rotation:315;z-index:-25165516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E5AF" w14:textId="77777777" w:rsidR="00AB5A28" w:rsidRDefault="00CE2BC7">
    <w:pPr>
      <w:pStyle w:val="Kopfzeile"/>
    </w:pPr>
    <w:r>
      <w:rPr>
        <w:noProof/>
      </w:rPr>
      <w:pict w14:anchorId="49AD6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20" o:spid="_x0000_s1027" type="#_x0000_t136" style="position:absolute;margin-left:0;margin-top:0;width:479.55pt;height:159.85pt;rotation:315;z-index:-25165312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C74B" w14:textId="77777777" w:rsidR="00AB5A28" w:rsidRDefault="00CE2BC7">
    <w:pPr>
      <w:pStyle w:val="Kopfzeile"/>
    </w:pPr>
    <w:r>
      <w:rPr>
        <w:noProof/>
      </w:rPr>
      <w:pict w14:anchorId="1BE61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8" o:spid="_x0000_s1025"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0"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0472325">
    <w:abstractNumId w:val="1"/>
  </w:num>
  <w:num w:numId="2" w16cid:durableId="56365079">
    <w:abstractNumId w:val="2"/>
  </w:num>
  <w:num w:numId="3" w16cid:durableId="690111009">
    <w:abstractNumId w:val="12"/>
  </w:num>
  <w:num w:numId="4" w16cid:durableId="1796100029">
    <w:abstractNumId w:val="5"/>
  </w:num>
  <w:num w:numId="5" w16cid:durableId="2075270179">
    <w:abstractNumId w:val="3"/>
  </w:num>
  <w:num w:numId="6" w16cid:durableId="622155941">
    <w:abstractNumId w:val="0"/>
  </w:num>
  <w:num w:numId="7" w16cid:durableId="914432614">
    <w:abstractNumId w:val="4"/>
  </w:num>
  <w:num w:numId="8" w16cid:durableId="648511336">
    <w:abstractNumId w:val="7"/>
  </w:num>
  <w:num w:numId="9" w16cid:durableId="257374350">
    <w:abstractNumId w:val="6"/>
  </w:num>
  <w:num w:numId="10" w16cid:durableId="1655333653">
    <w:abstractNumId w:val="11"/>
  </w:num>
  <w:num w:numId="11" w16cid:durableId="21712274">
    <w:abstractNumId w:val="10"/>
  </w:num>
  <w:num w:numId="12" w16cid:durableId="387219006">
    <w:abstractNumId w:val="9"/>
  </w:num>
  <w:num w:numId="13" w16cid:durableId="1462654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02F07D-17B7-4E60-8148-3B077F146009}"/>
    <w:docVar w:name="dgnword-eventsink" w:val="2259707080512"/>
  </w:docVars>
  <w:rsids>
    <w:rsidRoot w:val="00EB318E"/>
    <w:rsid w:val="00002CAE"/>
    <w:rsid w:val="0000713F"/>
    <w:rsid w:val="000127E2"/>
    <w:rsid w:val="00012D1A"/>
    <w:rsid w:val="00016D43"/>
    <w:rsid w:val="00036FEA"/>
    <w:rsid w:val="0003719F"/>
    <w:rsid w:val="00041E2C"/>
    <w:rsid w:val="0006089B"/>
    <w:rsid w:val="000608E2"/>
    <w:rsid w:val="00060D07"/>
    <w:rsid w:val="000641B8"/>
    <w:rsid w:val="00071001"/>
    <w:rsid w:val="00075857"/>
    <w:rsid w:val="00082C8C"/>
    <w:rsid w:val="00091B54"/>
    <w:rsid w:val="000970F5"/>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59BE"/>
    <w:rsid w:val="00106C6F"/>
    <w:rsid w:val="00115358"/>
    <w:rsid w:val="00123FF7"/>
    <w:rsid w:val="00127FD3"/>
    <w:rsid w:val="00133288"/>
    <w:rsid w:val="00142250"/>
    <w:rsid w:val="001455FF"/>
    <w:rsid w:val="00145A46"/>
    <w:rsid w:val="00166D5F"/>
    <w:rsid w:val="001675EA"/>
    <w:rsid w:val="00182C18"/>
    <w:rsid w:val="00183A5F"/>
    <w:rsid w:val="001904B8"/>
    <w:rsid w:val="00193FBA"/>
    <w:rsid w:val="001A04D8"/>
    <w:rsid w:val="001A1F7F"/>
    <w:rsid w:val="001A5B74"/>
    <w:rsid w:val="001C5380"/>
    <w:rsid w:val="001D6E58"/>
    <w:rsid w:val="001E2D12"/>
    <w:rsid w:val="001F25D1"/>
    <w:rsid w:val="00200EC8"/>
    <w:rsid w:val="0020107C"/>
    <w:rsid w:val="0020239C"/>
    <w:rsid w:val="002023B8"/>
    <w:rsid w:val="00213287"/>
    <w:rsid w:val="00220E0E"/>
    <w:rsid w:val="0022673E"/>
    <w:rsid w:val="00226ADD"/>
    <w:rsid w:val="00226C86"/>
    <w:rsid w:val="00240497"/>
    <w:rsid w:val="002535CA"/>
    <w:rsid w:val="00253970"/>
    <w:rsid w:val="00255F98"/>
    <w:rsid w:val="00261C4B"/>
    <w:rsid w:val="00262BBF"/>
    <w:rsid w:val="00271D63"/>
    <w:rsid w:val="00274D3E"/>
    <w:rsid w:val="00277E56"/>
    <w:rsid w:val="00283BF5"/>
    <w:rsid w:val="002971D3"/>
    <w:rsid w:val="002A2E36"/>
    <w:rsid w:val="002A6A53"/>
    <w:rsid w:val="002B35A2"/>
    <w:rsid w:val="002C33A7"/>
    <w:rsid w:val="002D33A1"/>
    <w:rsid w:val="002D4063"/>
    <w:rsid w:val="002E40B7"/>
    <w:rsid w:val="002F6BFA"/>
    <w:rsid w:val="002F77A9"/>
    <w:rsid w:val="003258AF"/>
    <w:rsid w:val="00326AD7"/>
    <w:rsid w:val="0033056B"/>
    <w:rsid w:val="00331C9B"/>
    <w:rsid w:val="003351AC"/>
    <w:rsid w:val="00353145"/>
    <w:rsid w:val="00354C94"/>
    <w:rsid w:val="00356823"/>
    <w:rsid w:val="00363ACC"/>
    <w:rsid w:val="0037643C"/>
    <w:rsid w:val="00382B0A"/>
    <w:rsid w:val="00385222"/>
    <w:rsid w:val="003925AD"/>
    <w:rsid w:val="003C7BD4"/>
    <w:rsid w:val="003D1A2B"/>
    <w:rsid w:val="003D621A"/>
    <w:rsid w:val="003D70C4"/>
    <w:rsid w:val="003D7AD3"/>
    <w:rsid w:val="003E2344"/>
    <w:rsid w:val="003E3102"/>
    <w:rsid w:val="003F3096"/>
    <w:rsid w:val="003F6C84"/>
    <w:rsid w:val="003F72E9"/>
    <w:rsid w:val="003F792D"/>
    <w:rsid w:val="00411B54"/>
    <w:rsid w:val="004270E2"/>
    <w:rsid w:val="00442A54"/>
    <w:rsid w:val="00446AEB"/>
    <w:rsid w:val="00446BE3"/>
    <w:rsid w:val="00450DC1"/>
    <w:rsid w:val="00454F8D"/>
    <w:rsid w:val="004565CB"/>
    <w:rsid w:val="004566DB"/>
    <w:rsid w:val="00470A23"/>
    <w:rsid w:val="00471400"/>
    <w:rsid w:val="00482ED1"/>
    <w:rsid w:val="00484B00"/>
    <w:rsid w:val="004A0C5F"/>
    <w:rsid w:val="004A2074"/>
    <w:rsid w:val="004A612E"/>
    <w:rsid w:val="004C5BD9"/>
    <w:rsid w:val="004D5B87"/>
    <w:rsid w:val="004E1D88"/>
    <w:rsid w:val="004F23C4"/>
    <w:rsid w:val="0050185E"/>
    <w:rsid w:val="00506E08"/>
    <w:rsid w:val="005073AE"/>
    <w:rsid w:val="00510C62"/>
    <w:rsid w:val="005154D9"/>
    <w:rsid w:val="005246B6"/>
    <w:rsid w:val="00527B54"/>
    <w:rsid w:val="00531490"/>
    <w:rsid w:val="00542E32"/>
    <w:rsid w:val="00546101"/>
    <w:rsid w:val="00547A59"/>
    <w:rsid w:val="005501F5"/>
    <w:rsid w:val="005534A7"/>
    <w:rsid w:val="005534B9"/>
    <w:rsid w:val="00555F5F"/>
    <w:rsid w:val="005563AC"/>
    <w:rsid w:val="00573358"/>
    <w:rsid w:val="00596D89"/>
    <w:rsid w:val="005A7E33"/>
    <w:rsid w:val="005B0EC4"/>
    <w:rsid w:val="005B595D"/>
    <w:rsid w:val="005B7474"/>
    <w:rsid w:val="005B7B2B"/>
    <w:rsid w:val="005C1698"/>
    <w:rsid w:val="005C382D"/>
    <w:rsid w:val="005C5376"/>
    <w:rsid w:val="005D0BA5"/>
    <w:rsid w:val="005D282D"/>
    <w:rsid w:val="005D3BF4"/>
    <w:rsid w:val="005D6B25"/>
    <w:rsid w:val="005D714A"/>
    <w:rsid w:val="005F6829"/>
    <w:rsid w:val="0060268B"/>
    <w:rsid w:val="0060498F"/>
    <w:rsid w:val="00617DBA"/>
    <w:rsid w:val="00624560"/>
    <w:rsid w:val="00626C2B"/>
    <w:rsid w:val="00631FED"/>
    <w:rsid w:val="006327CF"/>
    <w:rsid w:val="00640476"/>
    <w:rsid w:val="00656E2C"/>
    <w:rsid w:val="0066391E"/>
    <w:rsid w:val="00665515"/>
    <w:rsid w:val="00666270"/>
    <w:rsid w:val="00667712"/>
    <w:rsid w:val="00680302"/>
    <w:rsid w:val="0068635C"/>
    <w:rsid w:val="00692215"/>
    <w:rsid w:val="006A78D2"/>
    <w:rsid w:val="006B4206"/>
    <w:rsid w:val="006B464D"/>
    <w:rsid w:val="006C5134"/>
    <w:rsid w:val="006D0824"/>
    <w:rsid w:val="006D58B7"/>
    <w:rsid w:val="006E0005"/>
    <w:rsid w:val="006E2E0E"/>
    <w:rsid w:val="006E5EB7"/>
    <w:rsid w:val="006F2C6D"/>
    <w:rsid w:val="007050C2"/>
    <w:rsid w:val="00722D43"/>
    <w:rsid w:val="00733E21"/>
    <w:rsid w:val="00737458"/>
    <w:rsid w:val="00744E03"/>
    <w:rsid w:val="00746591"/>
    <w:rsid w:val="007572B2"/>
    <w:rsid w:val="00757D59"/>
    <w:rsid w:val="00761137"/>
    <w:rsid w:val="007624B1"/>
    <w:rsid w:val="00764C39"/>
    <w:rsid w:val="00765216"/>
    <w:rsid w:val="00765322"/>
    <w:rsid w:val="00772BFE"/>
    <w:rsid w:val="00772C75"/>
    <w:rsid w:val="007766FC"/>
    <w:rsid w:val="00780333"/>
    <w:rsid w:val="00782F87"/>
    <w:rsid w:val="007852F7"/>
    <w:rsid w:val="00786DF5"/>
    <w:rsid w:val="007A6524"/>
    <w:rsid w:val="007C0564"/>
    <w:rsid w:val="007C2D8A"/>
    <w:rsid w:val="007D472B"/>
    <w:rsid w:val="007F0DCC"/>
    <w:rsid w:val="007F47AD"/>
    <w:rsid w:val="007F5D21"/>
    <w:rsid w:val="00802EE8"/>
    <w:rsid w:val="008042C9"/>
    <w:rsid w:val="008137F8"/>
    <w:rsid w:val="00813C58"/>
    <w:rsid w:val="00813D37"/>
    <w:rsid w:val="00822213"/>
    <w:rsid w:val="00831F79"/>
    <w:rsid w:val="00835A38"/>
    <w:rsid w:val="008401B3"/>
    <w:rsid w:val="00841B66"/>
    <w:rsid w:val="0085688E"/>
    <w:rsid w:val="008612BF"/>
    <w:rsid w:val="00861D96"/>
    <w:rsid w:val="00864BB9"/>
    <w:rsid w:val="00867FD6"/>
    <w:rsid w:val="00873CCE"/>
    <w:rsid w:val="00875856"/>
    <w:rsid w:val="008862DB"/>
    <w:rsid w:val="00886998"/>
    <w:rsid w:val="00897409"/>
    <w:rsid w:val="008A0FF8"/>
    <w:rsid w:val="008A24DF"/>
    <w:rsid w:val="008A713B"/>
    <w:rsid w:val="008B46EE"/>
    <w:rsid w:val="008B7BD0"/>
    <w:rsid w:val="008C62EC"/>
    <w:rsid w:val="008D08A5"/>
    <w:rsid w:val="008D6D1E"/>
    <w:rsid w:val="008F40A5"/>
    <w:rsid w:val="00905D69"/>
    <w:rsid w:val="00913196"/>
    <w:rsid w:val="00916EAD"/>
    <w:rsid w:val="00947228"/>
    <w:rsid w:val="00951D89"/>
    <w:rsid w:val="00954E0A"/>
    <w:rsid w:val="009627DE"/>
    <w:rsid w:val="00964715"/>
    <w:rsid w:val="00976333"/>
    <w:rsid w:val="00982719"/>
    <w:rsid w:val="00990658"/>
    <w:rsid w:val="009A406D"/>
    <w:rsid w:val="009A4857"/>
    <w:rsid w:val="009A789A"/>
    <w:rsid w:val="009B14CE"/>
    <w:rsid w:val="009C58B4"/>
    <w:rsid w:val="009C6392"/>
    <w:rsid w:val="009D6188"/>
    <w:rsid w:val="009F7963"/>
    <w:rsid w:val="00A01D86"/>
    <w:rsid w:val="00A04226"/>
    <w:rsid w:val="00A07A71"/>
    <w:rsid w:val="00A179EC"/>
    <w:rsid w:val="00A26AF1"/>
    <w:rsid w:val="00A30D99"/>
    <w:rsid w:val="00A37477"/>
    <w:rsid w:val="00A40993"/>
    <w:rsid w:val="00A40F7B"/>
    <w:rsid w:val="00A44660"/>
    <w:rsid w:val="00A65C40"/>
    <w:rsid w:val="00A675D0"/>
    <w:rsid w:val="00A741F1"/>
    <w:rsid w:val="00A824B8"/>
    <w:rsid w:val="00A86018"/>
    <w:rsid w:val="00AB5A28"/>
    <w:rsid w:val="00AC215F"/>
    <w:rsid w:val="00AC28F5"/>
    <w:rsid w:val="00AC617A"/>
    <w:rsid w:val="00AD057B"/>
    <w:rsid w:val="00AD104F"/>
    <w:rsid w:val="00AD16CA"/>
    <w:rsid w:val="00AD6225"/>
    <w:rsid w:val="00AE2B70"/>
    <w:rsid w:val="00AE4B59"/>
    <w:rsid w:val="00B0469C"/>
    <w:rsid w:val="00B05EEA"/>
    <w:rsid w:val="00B158EE"/>
    <w:rsid w:val="00B20F70"/>
    <w:rsid w:val="00B216D5"/>
    <w:rsid w:val="00B259C5"/>
    <w:rsid w:val="00B27DDA"/>
    <w:rsid w:val="00B313B9"/>
    <w:rsid w:val="00B3531E"/>
    <w:rsid w:val="00B35829"/>
    <w:rsid w:val="00B56534"/>
    <w:rsid w:val="00BA1C24"/>
    <w:rsid w:val="00BA38E8"/>
    <w:rsid w:val="00BB499F"/>
    <w:rsid w:val="00BB4B43"/>
    <w:rsid w:val="00BB5056"/>
    <w:rsid w:val="00BB6754"/>
    <w:rsid w:val="00BC2477"/>
    <w:rsid w:val="00BC4FE5"/>
    <w:rsid w:val="00BC6C12"/>
    <w:rsid w:val="00BC6FC8"/>
    <w:rsid w:val="00BD39D5"/>
    <w:rsid w:val="00BD567B"/>
    <w:rsid w:val="00BE4329"/>
    <w:rsid w:val="00BE79A7"/>
    <w:rsid w:val="00BF2B69"/>
    <w:rsid w:val="00BF312C"/>
    <w:rsid w:val="00BF5FFC"/>
    <w:rsid w:val="00C04A90"/>
    <w:rsid w:val="00C10E89"/>
    <w:rsid w:val="00C160EC"/>
    <w:rsid w:val="00C36B74"/>
    <w:rsid w:val="00C42CFE"/>
    <w:rsid w:val="00C54455"/>
    <w:rsid w:val="00C5474A"/>
    <w:rsid w:val="00C564E9"/>
    <w:rsid w:val="00C65946"/>
    <w:rsid w:val="00C65C5C"/>
    <w:rsid w:val="00C65DF8"/>
    <w:rsid w:val="00C779A5"/>
    <w:rsid w:val="00C81567"/>
    <w:rsid w:val="00C8448C"/>
    <w:rsid w:val="00C86B86"/>
    <w:rsid w:val="00CA0B6F"/>
    <w:rsid w:val="00CB1F99"/>
    <w:rsid w:val="00CB4B04"/>
    <w:rsid w:val="00CB71CB"/>
    <w:rsid w:val="00CD434B"/>
    <w:rsid w:val="00CD6209"/>
    <w:rsid w:val="00CD7345"/>
    <w:rsid w:val="00CE2BC7"/>
    <w:rsid w:val="00CE4DF9"/>
    <w:rsid w:val="00CE7A80"/>
    <w:rsid w:val="00CF1DEF"/>
    <w:rsid w:val="00CF5188"/>
    <w:rsid w:val="00CF54DF"/>
    <w:rsid w:val="00D00A67"/>
    <w:rsid w:val="00D00D00"/>
    <w:rsid w:val="00D02D14"/>
    <w:rsid w:val="00D4620F"/>
    <w:rsid w:val="00D5367E"/>
    <w:rsid w:val="00D55033"/>
    <w:rsid w:val="00D55BF3"/>
    <w:rsid w:val="00D57A30"/>
    <w:rsid w:val="00D60841"/>
    <w:rsid w:val="00D615F1"/>
    <w:rsid w:val="00D710D2"/>
    <w:rsid w:val="00D86C87"/>
    <w:rsid w:val="00D90FF5"/>
    <w:rsid w:val="00D956B6"/>
    <w:rsid w:val="00D96F6A"/>
    <w:rsid w:val="00DA37ED"/>
    <w:rsid w:val="00DA5D6E"/>
    <w:rsid w:val="00DB31B3"/>
    <w:rsid w:val="00DB3E70"/>
    <w:rsid w:val="00DB4F45"/>
    <w:rsid w:val="00DB65F5"/>
    <w:rsid w:val="00DB6699"/>
    <w:rsid w:val="00DC7BC0"/>
    <w:rsid w:val="00DD11C1"/>
    <w:rsid w:val="00DD288B"/>
    <w:rsid w:val="00DD2B08"/>
    <w:rsid w:val="00DD6B4B"/>
    <w:rsid w:val="00DD6CD6"/>
    <w:rsid w:val="00DD7D20"/>
    <w:rsid w:val="00DE4B39"/>
    <w:rsid w:val="00DE516A"/>
    <w:rsid w:val="00DE5505"/>
    <w:rsid w:val="00DE7501"/>
    <w:rsid w:val="00DF0080"/>
    <w:rsid w:val="00DF1332"/>
    <w:rsid w:val="00DF3492"/>
    <w:rsid w:val="00DF5BA7"/>
    <w:rsid w:val="00E11A80"/>
    <w:rsid w:val="00E22FA0"/>
    <w:rsid w:val="00E33347"/>
    <w:rsid w:val="00E3381F"/>
    <w:rsid w:val="00E343BD"/>
    <w:rsid w:val="00E50617"/>
    <w:rsid w:val="00E51955"/>
    <w:rsid w:val="00E51DB3"/>
    <w:rsid w:val="00E52388"/>
    <w:rsid w:val="00E544E4"/>
    <w:rsid w:val="00E6718B"/>
    <w:rsid w:val="00E70AE7"/>
    <w:rsid w:val="00E736C4"/>
    <w:rsid w:val="00E76A26"/>
    <w:rsid w:val="00E8086C"/>
    <w:rsid w:val="00E95F0C"/>
    <w:rsid w:val="00EA367F"/>
    <w:rsid w:val="00EA5FC1"/>
    <w:rsid w:val="00EB318E"/>
    <w:rsid w:val="00EB42A2"/>
    <w:rsid w:val="00EB432D"/>
    <w:rsid w:val="00EB5344"/>
    <w:rsid w:val="00EC5392"/>
    <w:rsid w:val="00EC5E56"/>
    <w:rsid w:val="00EC5F33"/>
    <w:rsid w:val="00EC6603"/>
    <w:rsid w:val="00EE25FD"/>
    <w:rsid w:val="00EF0DB3"/>
    <w:rsid w:val="00EF736B"/>
    <w:rsid w:val="00F11A35"/>
    <w:rsid w:val="00F12014"/>
    <w:rsid w:val="00F14564"/>
    <w:rsid w:val="00F1602F"/>
    <w:rsid w:val="00F16A3A"/>
    <w:rsid w:val="00F17D30"/>
    <w:rsid w:val="00F2629E"/>
    <w:rsid w:val="00F31D66"/>
    <w:rsid w:val="00F325D3"/>
    <w:rsid w:val="00F44190"/>
    <w:rsid w:val="00F45B5D"/>
    <w:rsid w:val="00F50711"/>
    <w:rsid w:val="00F50E88"/>
    <w:rsid w:val="00F56473"/>
    <w:rsid w:val="00F7001B"/>
    <w:rsid w:val="00F723C7"/>
    <w:rsid w:val="00F86929"/>
    <w:rsid w:val="00F9068A"/>
    <w:rsid w:val="00F94622"/>
    <w:rsid w:val="00FA68C6"/>
    <w:rsid w:val="00FA717C"/>
    <w:rsid w:val="00FA7B80"/>
    <w:rsid w:val="00FB3022"/>
    <w:rsid w:val="00FB4B8D"/>
    <w:rsid w:val="00FB5F64"/>
    <w:rsid w:val="00FC4712"/>
    <w:rsid w:val="00FC6679"/>
    <w:rsid w:val="00FD3DA0"/>
    <w:rsid w:val="00FD5005"/>
    <w:rsid w:val="00FE13A5"/>
    <w:rsid w:val="00FF4A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242A7"/>
  <w15:docId w15:val="{B5F20318-F6E8-4ABB-A721-58EFB07E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C54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4455"/>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2F77A9"/>
    <w:rPr>
      <w:color w:val="800080" w:themeColor="followedHyperlink"/>
      <w:u w:val="single"/>
    </w:rPr>
  </w:style>
  <w:style w:type="table" w:styleId="Tabellenraster">
    <w:name w:val="Table Grid"/>
    <w:basedOn w:val="NormaleTabelle"/>
    <w:uiPriority w:val="59"/>
    <w:rsid w:val="002023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B499F"/>
    <w:pPr>
      <w:spacing w:line="240" w:lineRule="auto"/>
    </w:pPr>
    <w:rPr>
      <w:rFonts w:ascii="Trebuchet MS" w:hAnsi="Trebuchet MS" w:cs="Times New Roman"/>
      <w:szCs w:val="20"/>
      <w:lang w:val="de-DE" w:eastAsia="de-DE"/>
    </w:rPr>
  </w:style>
  <w:style w:type="table" w:customStyle="1" w:styleId="Tabellenraster1">
    <w:name w:val="Tabellenraster1"/>
    <w:basedOn w:val="NormaleTabelle"/>
    <w:next w:val="Tabellenraster"/>
    <w:uiPriority w:val="59"/>
    <w:rsid w:val="004E1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E1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4E1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4E1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4E1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4E1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802EE8"/>
    <w:rPr>
      <w:color w:val="605E5C"/>
      <w:shd w:val="clear" w:color="auto" w:fill="E1DFDD"/>
    </w:rPr>
  </w:style>
  <w:style w:type="character" w:styleId="NichtaufgelsteErwhnung">
    <w:name w:val="Unresolved Mention"/>
    <w:basedOn w:val="Absatz-Standardschriftart"/>
    <w:uiPriority w:val="99"/>
    <w:semiHidden/>
    <w:unhideWhenUsed/>
    <w:rsid w:val="008137F8"/>
    <w:rPr>
      <w:color w:val="605E5C"/>
      <w:shd w:val="clear" w:color="auto" w:fill="E1DFDD"/>
    </w:rPr>
  </w:style>
  <w:style w:type="character" w:styleId="Kommentarzeichen">
    <w:name w:val="annotation reference"/>
    <w:basedOn w:val="Absatz-Standardschriftart"/>
    <w:uiPriority w:val="99"/>
    <w:semiHidden/>
    <w:unhideWhenUsed/>
    <w:rsid w:val="0006089B"/>
    <w:rPr>
      <w:sz w:val="16"/>
      <w:szCs w:val="16"/>
    </w:rPr>
  </w:style>
  <w:style w:type="paragraph" w:styleId="Kommentartext">
    <w:name w:val="annotation text"/>
    <w:basedOn w:val="Standard"/>
    <w:link w:val="KommentartextZchn"/>
    <w:uiPriority w:val="99"/>
    <w:semiHidden/>
    <w:unhideWhenUsed/>
    <w:rsid w:val="0006089B"/>
    <w:pPr>
      <w:spacing w:line="240" w:lineRule="auto"/>
    </w:pPr>
    <w:rPr>
      <w:sz w:val="20"/>
    </w:rPr>
  </w:style>
  <w:style w:type="character" w:customStyle="1" w:styleId="KommentartextZchn">
    <w:name w:val="Kommentartext Zchn"/>
    <w:basedOn w:val="Absatz-Standardschriftart"/>
    <w:link w:val="Kommentartext"/>
    <w:uiPriority w:val="99"/>
    <w:semiHidden/>
    <w:rsid w:val="0006089B"/>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06089B"/>
    <w:rPr>
      <w:b/>
      <w:bCs/>
    </w:rPr>
  </w:style>
  <w:style w:type="character" w:customStyle="1" w:styleId="KommentarthemaZchn">
    <w:name w:val="Kommentarthema Zchn"/>
    <w:basedOn w:val="KommentartextZchn"/>
    <w:link w:val="Kommentarthema"/>
    <w:uiPriority w:val="99"/>
    <w:semiHidden/>
    <w:rsid w:val="0006089B"/>
    <w:rPr>
      <w:rFonts w:ascii="Trebuchet MS" w:hAnsi="Trebuchet MS"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publications/standard-contractual-clauses-controllers-and-processors-eueea_de" TargetMode="External"/><Relationship Id="rId18" Type="http://schemas.openxmlformats.org/officeDocument/2006/relationships/hyperlink" Target="http://wko.a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ko.at/datenschutz/eu-dsgvo-internationaler-datenverkehr" TargetMode="External"/><Relationship Id="rId17" Type="http://schemas.openxmlformats.org/officeDocument/2006/relationships/hyperlink" Target="https://www.wko.at/datenschutz/eu-dsgvo-internationaler-datenverke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ission.europa.eu/publications/standard-contractual-clauses-international-transfers_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wko.at/datenschutz/eu-dsgvo-internationaler-datenverkeh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publications/standard-contractual-clauses-international-transfers_de"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1" ma:contentTypeDescription="Content Type for DMS" ma:contentTypeScope="" ma:versionID="fecd4383b657bd51ead8f33cda487903">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nf05ca83ff2f421090d4017fb2332c72>
    <TaxCatchAll xmlns="ac85bbcf-ce78-459e-ba77-9ef2282094b2">
      <Value>2</Value>
      <Value>1</Value>
    </TaxCatchAll>
    <lcf76f155ced4ddcb4097134ff3c332f xmlns="e3e6feaf-ca17-4ec5-b7f2-59d312bcf41e">
      <Terms xmlns="http://schemas.microsoft.com/office/infopath/2007/PartnerControls"/>
    </lcf76f155ced4ddcb4097134ff3c332f>
    <StartdatumDSGVOBehaltefrist xmlns="15909d5e-1b51-4d5f-bae6-f3544bb622d4" xsi:nil="true"/>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FreiesMetadatenfeld xmlns="ac85bbcf-ce78-459e-ba77-9ef2282094b2" xsi:nil="true"/>
    <LöschdatumDSGVO xmlns="15909d5e-1b51-4d5f-bae6-f3544bb622d4" xsi:nil="true"/>
    <Datum xmlns="e3e6feaf-ca17-4ec5-b7f2-59d312bcf41e" xsi:nil="true"/>
    <Vertraulichkeit xmlns="ac85bbcf-ce78-459e-ba77-9ef2282094b2" xsi:nil="true"/>
    <EigeneReferenz xmlns="ac85bbcf-ce78-459e-ba77-9ef2282094b2" xsi:nil="true"/>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Props1.xml><?xml version="1.0" encoding="utf-8"?>
<ds:datastoreItem xmlns:ds="http://schemas.openxmlformats.org/officeDocument/2006/customXml" ds:itemID="{6157BDD3-3FA6-44AF-B4A6-93DEB3A698B1}">
  <ds:schemaRefs>
    <ds:schemaRef ds:uri="http://schemas.openxmlformats.org/officeDocument/2006/bibliography"/>
  </ds:schemaRefs>
</ds:datastoreItem>
</file>

<file path=customXml/itemProps2.xml><?xml version="1.0" encoding="utf-8"?>
<ds:datastoreItem xmlns:ds="http://schemas.openxmlformats.org/officeDocument/2006/customXml" ds:itemID="{EA8DC828-56F4-4081-AD97-15F7B2B27A0E}">
  <ds:schemaRefs>
    <ds:schemaRef ds:uri="http://schemas.microsoft.com/sharepoint/v3/contenttype/forms"/>
  </ds:schemaRefs>
</ds:datastoreItem>
</file>

<file path=customXml/itemProps3.xml><?xml version="1.0" encoding="utf-8"?>
<ds:datastoreItem xmlns:ds="http://schemas.openxmlformats.org/officeDocument/2006/customXml" ds:itemID="{9BD31DED-3F7B-45A4-8770-9A302ACB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4720-3546-443C-A0F1-AB37297B0DBB}">
  <ds:schemaRefs>
    <ds:schemaRef ds:uri="http://schemas.microsoft.com/office/2006/metadata/properties"/>
    <ds:schemaRef ds:uri="http://schemas.microsoft.com/office/infopath/2007/PartnerControls"/>
    <ds:schemaRef ds:uri="ac85bbcf-ce78-459e-ba77-9ef2282094b2"/>
    <ds:schemaRef ds:uri="e3e6feaf-ca17-4ec5-b7f2-59d312bcf41e"/>
    <ds:schemaRef ds:uri="15909d5e-1b51-4d5f-bae6-f3544bb622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12391</Characters>
  <Application>Microsoft Office Word</Application>
  <DocSecurity>4</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Haidinger Viktoria, Mag, WKÖ Statistik</dc:creator>
  <cp:keywords/>
  <dc:description/>
  <cp:lastModifiedBy>Biberschick Ulrike | WKO Inhouse</cp:lastModifiedBy>
  <cp:revision>2</cp:revision>
  <cp:lastPrinted>2017-09-22T14:23:00Z</cp:lastPrinted>
  <dcterms:created xsi:type="dcterms:W3CDTF">2025-06-10T10:17:00Z</dcterms:created>
  <dcterms:modified xsi:type="dcterms:W3CDTF">2025-06-10T10:17:00Z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etigkeitsbereich">
    <vt:lpwstr>1</vt:lpwstr>
  </property>
  <property fmtid="{D5CDD505-2E9C-101B-9397-08002B2CF9AE}" pid="4" name="MediaServiceImageTags">
    <vt:lpwstr/>
  </property>
  <property fmtid="{D5CDD505-2E9C-101B-9397-08002B2CF9AE}" pid="5" name="ContentTypeId">
    <vt:lpwstr>0x0101001832020E42F21847831ED06AF68F9DAC00B78B6DC37D8C1A4FB40F62B97B8F7006</vt:lpwstr>
  </property>
  <property fmtid="{D5CDD505-2E9C-101B-9397-08002B2CF9AE}" pid="6" name="Dokumentenart">
    <vt:lpwstr>2;#Allgemeines Dokument|256c25dd-d6b9-4889-8d4b-4a032cb12aef</vt:lpwstr>
  </property>
  <property fmtid="{D5CDD505-2E9C-101B-9397-08002B2CF9AE}" pid="7" name="_docset_NoMedatataSyncRequired">
    <vt:lpwstr>False</vt:lpwstr>
  </property>
</Properties>
</file>