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713B" w:rsidRDefault="0054713B">
      <w:bookmarkStart w:id="0" w:name="_GoBack"/>
      <w:bookmarkEnd w:id="0"/>
    </w:p>
    <w:tbl>
      <w:tblPr>
        <w:tblW w:w="9751" w:type="dxa"/>
        <w:tblLayout w:type="fixed"/>
        <w:tblCellMar>
          <w:left w:w="70" w:type="dxa"/>
          <w:right w:w="70" w:type="dxa"/>
        </w:tblCellMar>
        <w:tblLook w:val="0000" w:firstRow="0" w:lastRow="0" w:firstColumn="0" w:lastColumn="0" w:noHBand="0" w:noVBand="0"/>
      </w:tblPr>
      <w:tblGrid>
        <w:gridCol w:w="5102"/>
        <w:gridCol w:w="4649"/>
      </w:tblGrid>
      <w:tr w:rsidR="00FE5212" w:rsidRPr="002119B1" w:rsidTr="008C67C8">
        <w:trPr>
          <w:trHeight w:hRule="exact" w:val="2986"/>
        </w:trPr>
        <w:tc>
          <w:tcPr>
            <w:tcW w:w="5102" w:type="dxa"/>
          </w:tcPr>
          <w:p w:rsidR="0054713B" w:rsidRDefault="0054713B">
            <w:pPr>
              <w:rPr>
                <w:snapToGrid w:val="0"/>
                <w:color w:val="000000"/>
                <w:szCs w:val="0"/>
                <w:u w:color="000000"/>
              </w:rPr>
            </w:pPr>
            <w:r>
              <w:rPr>
                <w:snapToGrid w:val="0"/>
                <w:color w:val="000000"/>
                <w:sz w:val="12"/>
                <w:szCs w:val="0"/>
                <w:u w:color="000000"/>
              </w:rPr>
              <w:br/>
            </w:r>
            <w:r>
              <w:rPr>
                <w:snapToGrid w:val="0"/>
                <w:color w:val="000000"/>
                <w:szCs w:val="0"/>
                <w:u w:color="000000"/>
              </w:rPr>
              <w:t>Ergeht an:</w:t>
            </w:r>
          </w:p>
          <w:p w:rsidR="0054713B" w:rsidRDefault="0054713B">
            <w:pPr>
              <w:rPr>
                <w:snapToGrid w:val="0"/>
                <w:color w:val="000000"/>
                <w:szCs w:val="0"/>
                <w:u w:color="000000"/>
              </w:rPr>
            </w:pPr>
          </w:p>
          <w:p w:rsidR="006533D2" w:rsidRDefault="0054713B">
            <w:pPr>
              <w:rPr>
                <w:snapToGrid w:val="0"/>
                <w:color w:val="000000"/>
                <w:szCs w:val="0"/>
                <w:u w:color="000000"/>
              </w:rPr>
            </w:pPr>
            <w:r>
              <w:rPr>
                <w:snapToGrid w:val="0"/>
                <w:color w:val="000000"/>
                <w:szCs w:val="0"/>
                <w:u w:color="000000"/>
              </w:rPr>
              <w:t xml:space="preserve">alle </w:t>
            </w:r>
            <w:r w:rsidR="006533D2">
              <w:rPr>
                <w:snapToGrid w:val="0"/>
                <w:color w:val="000000"/>
                <w:szCs w:val="0"/>
                <w:u w:color="000000"/>
              </w:rPr>
              <w:t>Bundessparten</w:t>
            </w:r>
            <w:r>
              <w:rPr>
                <w:snapToGrid w:val="0"/>
                <w:color w:val="000000"/>
                <w:szCs w:val="0"/>
                <w:u w:color="000000"/>
              </w:rPr>
              <w:t xml:space="preserve"> </w:t>
            </w:r>
          </w:p>
          <w:p w:rsidR="009B7DF8" w:rsidRDefault="00853FDE">
            <w:pPr>
              <w:rPr>
                <w:snapToGrid w:val="0"/>
                <w:color w:val="000000"/>
                <w:szCs w:val="0"/>
                <w:u w:color="000000"/>
              </w:rPr>
            </w:pPr>
            <w:r>
              <w:rPr>
                <w:snapToGrid w:val="0"/>
                <w:color w:val="000000"/>
                <w:szCs w:val="0"/>
                <w:u w:color="000000"/>
              </w:rPr>
              <w:t>alle Landeskammern</w:t>
            </w:r>
            <w:r w:rsidR="009B7DF8">
              <w:rPr>
                <w:snapToGrid w:val="0"/>
                <w:color w:val="000000"/>
                <w:szCs w:val="0"/>
                <w:u w:color="000000"/>
              </w:rPr>
              <w:t xml:space="preserve"> </w:t>
            </w:r>
          </w:p>
          <w:p w:rsidR="00A4458A" w:rsidRDefault="00A4458A">
            <w:pPr>
              <w:rPr>
                <w:snapToGrid w:val="0"/>
                <w:color w:val="000000"/>
                <w:szCs w:val="0"/>
                <w:u w:color="000000"/>
              </w:rPr>
            </w:pPr>
            <w:r>
              <w:rPr>
                <w:snapToGrid w:val="0"/>
                <w:color w:val="000000"/>
                <w:szCs w:val="0"/>
                <w:u w:color="000000"/>
              </w:rPr>
              <w:t>Dr. Theo Taurer</w:t>
            </w:r>
          </w:p>
          <w:p w:rsidR="00A4458A" w:rsidRDefault="00A4458A">
            <w:pPr>
              <w:rPr>
                <w:snapToGrid w:val="0"/>
                <w:color w:val="000000"/>
                <w:szCs w:val="0"/>
                <w:u w:color="000000"/>
              </w:rPr>
            </w:pPr>
            <w:r>
              <w:rPr>
                <w:snapToGrid w:val="0"/>
                <w:color w:val="000000"/>
                <w:szCs w:val="0"/>
                <w:u w:color="000000"/>
              </w:rPr>
              <w:t>Mag. Verena Martelanz</w:t>
            </w:r>
          </w:p>
          <w:p w:rsidR="00CE67ED" w:rsidRDefault="00CE67ED">
            <w:pPr>
              <w:rPr>
                <w:snapToGrid w:val="0"/>
                <w:color w:val="000000"/>
                <w:szCs w:val="0"/>
                <w:u w:color="000000"/>
              </w:rPr>
            </w:pPr>
            <w:r>
              <w:rPr>
                <w:snapToGrid w:val="0"/>
                <w:color w:val="000000"/>
                <w:szCs w:val="0"/>
                <w:u w:color="000000"/>
              </w:rPr>
              <w:t xml:space="preserve">Mag. Martina </w:t>
            </w:r>
            <w:proofErr w:type="spellStart"/>
            <w:r>
              <w:rPr>
                <w:snapToGrid w:val="0"/>
                <w:color w:val="000000"/>
                <w:szCs w:val="0"/>
                <w:u w:color="000000"/>
              </w:rPr>
              <w:t>Weginger</w:t>
            </w:r>
            <w:proofErr w:type="spellEnd"/>
          </w:p>
          <w:p w:rsidR="00FE5212" w:rsidRDefault="00FE5212" w:rsidP="00D91629"/>
        </w:tc>
        <w:tc>
          <w:tcPr>
            <w:tcW w:w="4649" w:type="dxa"/>
          </w:tcPr>
          <w:p w:rsidR="00FE5212" w:rsidRDefault="00FE5212" w:rsidP="00FE5212">
            <w:pPr>
              <w:spacing w:line="220" w:lineRule="atLeast"/>
              <w:jc w:val="right"/>
              <w:rPr>
                <w:b/>
                <w:snapToGrid w:val="0"/>
                <w:color w:val="000000"/>
                <w:sz w:val="6"/>
                <w:szCs w:val="0"/>
                <w:u w:color="000000"/>
              </w:rPr>
            </w:pPr>
          </w:p>
          <w:p w:rsidR="00FE5212" w:rsidRDefault="00FE5212" w:rsidP="00FE5212">
            <w:pPr>
              <w:spacing w:line="220" w:lineRule="atLeast"/>
              <w:jc w:val="right"/>
              <w:rPr>
                <w:b/>
                <w:snapToGrid w:val="0"/>
                <w:color w:val="000000"/>
                <w:sz w:val="6"/>
                <w:szCs w:val="0"/>
                <w:u w:color="000000"/>
              </w:rPr>
            </w:pPr>
          </w:p>
          <w:p w:rsidR="00FE5212" w:rsidRDefault="00FE5212" w:rsidP="00FE5212">
            <w:pPr>
              <w:spacing w:line="260" w:lineRule="atLeast"/>
              <w:jc w:val="right"/>
              <w:rPr>
                <w:b/>
                <w:snapToGrid w:val="0"/>
                <w:color w:val="000000"/>
                <w:sz w:val="18"/>
                <w:szCs w:val="0"/>
                <w:u w:color="000000"/>
              </w:rPr>
            </w:pPr>
            <w:r>
              <w:rPr>
                <w:b/>
                <w:snapToGrid w:val="0"/>
                <w:color w:val="000000"/>
                <w:sz w:val="18"/>
                <w:szCs w:val="0"/>
                <w:u w:color="000000"/>
              </w:rPr>
              <w:t>Abteilung für Rechtspolitik</w:t>
            </w:r>
            <w:bookmarkStart w:id="1" w:name="abs1"/>
            <w:bookmarkEnd w:id="1"/>
          </w:p>
          <w:p w:rsidR="00FE5212" w:rsidRDefault="00FE5212" w:rsidP="00FE5212">
            <w:pPr>
              <w:spacing w:line="260" w:lineRule="atLeast"/>
              <w:jc w:val="right"/>
              <w:rPr>
                <w:snapToGrid w:val="0"/>
                <w:color w:val="000000"/>
                <w:sz w:val="18"/>
                <w:szCs w:val="0"/>
                <w:u w:color="000000"/>
              </w:rPr>
            </w:pPr>
            <w:proofErr w:type="spellStart"/>
            <w:r>
              <w:rPr>
                <w:snapToGrid w:val="0"/>
                <w:color w:val="000000"/>
                <w:sz w:val="18"/>
                <w:szCs w:val="0"/>
                <w:u w:color="000000"/>
              </w:rPr>
              <w:t>Wiedner</w:t>
            </w:r>
            <w:proofErr w:type="spellEnd"/>
            <w:r>
              <w:rPr>
                <w:snapToGrid w:val="0"/>
                <w:color w:val="000000"/>
                <w:sz w:val="18"/>
                <w:szCs w:val="0"/>
                <w:u w:color="000000"/>
              </w:rPr>
              <w:t xml:space="preserve"> Hauptstraße 63 | Postfach 195</w:t>
            </w:r>
          </w:p>
          <w:p w:rsidR="00FE5212" w:rsidRDefault="00FE5212" w:rsidP="00FE5212">
            <w:pPr>
              <w:spacing w:line="260" w:lineRule="atLeast"/>
              <w:jc w:val="right"/>
              <w:rPr>
                <w:snapToGrid w:val="0"/>
                <w:color w:val="000000"/>
                <w:sz w:val="18"/>
                <w:szCs w:val="0"/>
                <w:u w:color="000000"/>
              </w:rPr>
            </w:pPr>
            <w:r>
              <w:rPr>
                <w:snapToGrid w:val="0"/>
                <w:color w:val="000000"/>
                <w:sz w:val="18"/>
                <w:szCs w:val="0"/>
                <w:u w:color="000000"/>
              </w:rPr>
              <w:t>1045 Wien</w:t>
            </w:r>
          </w:p>
          <w:p w:rsidR="00FE5212" w:rsidRDefault="00FE5212" w:rsidP="00FE5212">
            <w:pPr>
              <w:spacing w:line="260" w:lineRule="atLeast"/>
              <w:jc w:val="right"/>
              <w:rPr>
                <w:snapToGrid w:val="0"/>
                <w:color w:val="000000"/>
                <w:sz w:val="18"/>
                <w:szCs w:val="0"/>
                <w:u w:color="000000"/>
              </w:rPr>
            </w:pPr>
            <w:r>
              <w:rPr>
                <w:snapToGrid w:val="0"/>
                <w:color w:val="000000"/>
                <w:sz w:val="18"/>
                <w:szCs w:val="0"/>
                <w:u w:color="000000"/>
              </w:rPr>
              <w:t>T +43 (0)5 90 900-</w:t>
            </w:r>
            <w:r w:rsidR="006533D2">
              <w:rPr>
                <w:snapToGrid w:val="0"/>
                <w:color w:val="000000"/>
                <w:sz w:val="18"/>
                <w:szCs w:val="0"/>
                <w:u w:color="000000"/>
              </w:rPr>
              <w:t>4236</w:t>
            </w:r>
            <w:r>
              <w:rPr>
                <w:snapToGrid w:val="0"/>
                <w:color w:val="000000"/>
                <w:sz w:val="18"/>
                <w:szCs w:val="0"/>
                <w:u w:color="000000"/>
              </w:rPr>
              <w:t xml:space="preserve"> | F +43 (0)5 90 900-11423</w:t>
            </w:r>
            <w:r w:rsidR="006533D2">
              <w:rPr>
                <w:snapToGrid w:val="0"/>
                <w:color w:val="000000"/>
                <w:sz w:val="18"/>
                <w:szCs w:val="0"/>
                <w:u w:color="000000"/>
              </w:rPr>
              <w:t>6</w:t>
            </w:r>
          </w:p>
          <w:p w:rsidR="00FE5212" w:rsidRDefault="00FE5212" w:rsidP="00FE5212">
            <w:pPr>
              <w:spacing w:line="260" w:lineRule="atLeast"/>
              <w:jc w:val="right"/>
              <w:rPr>
                <w:snapToGrid w:val="0"/>
                <w:color w:val="000000"/>
                <w:sz w:val="18"/>
                <w:szCs w:val="0"/>
                <w:u w:color="000000"/>
              </w:rPr>
            </w:pPr>
            <w:proofErr w:type="gramStart"/>
            <w:r>
              <w:rPr>
                <w:snapToGrid w:val="0"/>
                <w:color w:val="000000"/>
                <w:sz w:val="18"/>
                <w:szCs w:val="0"/>
                <w:u w:color="000000"/>
              </w:rPr>
              <w:t xml:space="preserve">E  </w:t>
            </w:r>
            <w:r w:rsidR="006533D2">
              <w:rPr>
                <w:snapToGrid w:val="0"/>
                <w:color w:val="000000"/>
                <w:sz w:val="18"/>
                <w:szCs w:val="0"/>
                <w:u w:color="000000"/>
              </w:rPr>
              <w:t>rp</w:t>
            </w:r>
            <w:r>
              <w:rPr>
                <w:snapToGrid w:val="0"/>
                <w:color w:val="000000"/>
                <w:sz w:val="18"/>
                <w:szCs w:val="0"/>
                <w:u w:color="000000"/>
              </w:rPr>
              <w:t>@wko.at</w:t>
            </w:r>
            <w:proofErr w:type="gramEnd"/>
          </w:p>
          <w:p w:rsidR="00FE5212" w:rsidRPr="00106030" w:rsidRDefault="00FE5212" w:rsidP="006533D2">
            <w:pPr>
              <w:spacing w:line="260" w:lineRule="atLeast"/>
              <w:jc w:val="right"/>
            </w:pPr>
            <w:r w:rsidRPr="00106030">
              <w:rPr>
                <w:snapToGrid w:val="0"/>
                <w:color w:val="000000"/>
                <w:sz w:val="18"/>
                <w:szCs w:val="0"/>
                <w:u w:color="000000"/>
              </w:rPr>
              <w:t xml:space="preserve">W  </w:t>
            </w:r>
            <w:hyperlink r:id="rId8" w:history="1">
              <w:r w:rsidR="00D91629" w:rsidRPr="00106030">
                <w:rPr>
                  <w:rStyle w:val="Hyperlink"/>
                  <w:snapToGrid w:val="0"/>
                  <w:sz w:val="18"/>
                  <w:szCs w:val="0"/>
                  <w:u w:color="000000"/>
                </w:rPr>
                <w:t>http://news.wko.at/rp</w:t>
              </w:r>
            </w:hyperlink>
            <w:r w:rsidR="00D91629" w:rsidRPr="00106030">
              <w:rPr>
                <w:snapToGrid w:val="0"/>
                <w:color w:val="000000"/>
                <w:sz w:val="18"/>
                <w:szCs w:val="0"/>
                <w:u w:color="000000"/>
              </w:rPr>
              <w:t xml:space="preserve"> </w:t>
            </w:r>
          </w:p>
        </w:tc>
      </w:tr>
    </w:tbl>
    <w:p w:rsidR="00FE5212" w:rsidRDefault="00FE5212" w:rsidP="00FE5212">
      <w:pPr>
        <w:tabs>
          <w:tab w:val="left" w:pos="2892"/>
          <w:tab w:val="left" w:pos="5783"/>
          <w:tab w:val="left" w:pos="7655"/>
        </w:tabs>
        <w:rPr>
          <w:snapToGrid w:val="0"/>
          <w:color w:val="000000"/>
          <w:sz w:val="16"/>
          <w:szCs w:val="0"/>
          <w:u w:color="000000"/>
        </w:rPr>
      </w:pPr>
      <w:r>
        <w:rPr>
          <w:snapToGrid w:val="0"/>
          <w:color w:val="000000"/>
          <w:sz w:val="16"/>
          <w:szCs w:val="0"/>
          <w:u w:color="000000"/>
        </w:rPr>
        <w:t>Ihr Zeichen, Ihre Nachricht vom</w:t>
      </w:r>
      <w:r>
        <w:rPr>
          <w:snapToGrid w:val="0"/>
          <w:color w:val="000000"/>
          <w:sz w:val="16"/>
          <w:szCs w:val="0"/>
          <w:u w:color="000000"/>
        </w:rPr>
        <w:tab/>
        <w:t>Unser Zeichen, Sachbearbeiter</w:t>
      </w:r>
      <w:r>
        <w:rPr>
          <w:snapToGrid w:val="0"/>
          <w:color w:val="000000"/>
          <w:sz w:val="16"/>
          <w:szCs w:val="0"/>
          <w:u w:color="000000"/>
        </w:rPr>
        <w:tab/>
        <w:t>Durchwahl</w:t>
      </w:r>
      <w:r>
        <w:rPr>
          <w:snapToGrid w:val="0"/>
          <w:color w:val="000000"/>
          <w:sz w:val="16"/>
          <w:szCs w:val="0"/>
          <w:u w:color="000000"/>
        </w:rPr>
        <w:tab/>
        <w:t>Datum</w:t>
      </w:r>
    </w:p>
    <w:p w:rsidR="00FE5212" w:rsidRPr="00C4226B" w:rsidRDefault="00FE5212" w:rsidP="002E3A73">
      <w:pPr>
        <w:tabs>
          <w:tab w:val="left" w:pos="2892"/>
          <w:tab w:val="left" w:pos="5783"/>
          <w:tab w:val="left" w:pos="7655"/>
        </w:tabs>
        <w:spacing w:line="240" w:lineRule="auto"/>
        <w:rPr>
          <w:snapToGrid w:val="0"/>
          <w:color w:val="000000"/>
          <w:szCs w:val="22"/>
          <w:u w:color="000000"/>
        </w:rPr>
      </w:pPr>
      <w:r w:rsidRPr="00FB403B">
        <w:rPr>
          <w:snapToGrid w:val="0"/>
          <w:color w:val="000000"/>
          <w:sz w:val="20"/>
          <w:u w:color="000000"/>
        </w:rPr>
        <w:tab/>
      </w:r>
      <w:proofErr w:type="spellStart"/>
      <w:r w:rsidRPr="00C4226B">
        <w:rPr>
          <w:snapToGrid w:val="0"/>
          <w:color w:val="000000"/>
          <w:szCs w:val="22"/>
          <w:u w:color="000000"/>
        </w:rPr>
        <w:t>Rp</w:t>
      </w:r>
      <w:proofErr w:type="spellEnd"/>
      <w:r w:rsidRPr="00C4226B">
        <w:rPr>
          <w:snapToGrid w:val="0"/>
          <w:color w:val="000000"/>
          <w:szCs w:val="22"/>
          <w:u w:color="000000"/>
        </w:rPr>
        <w:t xml:space="preserve"> </w:t>
      </w:r>
      <w:r w:rsidR="00625B32" w:rsidRPr="00C4226B">
        <w:rPr>
          <w:snapToGrid w:val="0"/>
          <w:color w:val="000000"/>
          <w:szCs w:val="22"/>
          <w:u w:color="000000"/>
        </w:rPr>
        <w:t>144</w:t>
      </w:r>
      <w:r w:rsidRPr="00C4226B">
        <w:rPr>
          <w:snapToGrid w:val="0"/>
          <w:color w:val="000000"/>
          <w:szCs w:val="22"/>
          <w:u w:color="000000"/>
        </w:rPr>
        <w:t>/</w:t>
      </w:r>
      <w:r w:rsidR="00D91629">
        <w:rPr>
          <w:snapToGrid w:val="0"/>
          <w:color w:val="000000"/>
          <w:szCs w:val="22"/>
          <w:u w:color="000000"/>
        </w:rPr>
        <w:t>19</w:t>
      </w:r>
      <w:r w:rsidRPr="00C4226B">
        <w:rPr>
          <w:snapToGrid w:val="0"/>
          <w:color w:val="000000"/>
          <w:szCs w:val="22"/>
          <w:u w:color="000000"/>
        </w:rPr>
        <w:t>/</w:t>
      </w:r>
      <w:proofErr w:type="spellStart"/>
      <w:r w:rsidRPr="00C4226B">
        <w:rPr>
          <w:snapToGrid w:val="0"/>
          <w:color w:val="000000"/>
          <w:szCs w:val="22"/>
          <w:u w:color="000000"/>
        </w:rPr>
        <w:t>MSt</w:t>
      </w:r>
      <w:proofErr w:type="spellEnd"/>
      <w:r w:rsidRPr="00C4226B">
        <w:rPr>
          <w:snapToGrid w:val="0"/>
          <w:color w:val="000000"/>
          <w:szCs w:val="22"/>
          <w:u w:color="000000"/>
        </w:rPr>
        <w:t>/</w:t>
      </w:r>
      <w:r w:rsidR="006533D2" w:rsidRPr="00C4226B">
        <w:rPr>
          <w:snapToGrid w:val="0"/>
          <w:color w:val="000000"/>
          <w:szCs w:val="22"/>
          <w:u w:color="000000"/>
        </w:rPr>
        <w:t>SL</w:t>
      </w:r>
      <w:r w:rsidRPr="00C4226B">
        <w:rPr>
          <w:snapToGrid w:val="0"/>
          <w:color w:val="000000"/>
          <w:szCs w:val="22"/>
          <w:u w:color="000000"/>
        </w:rPr>
        <w:tab/>
        <w:t>4296</w:t>
      </w:r>
      <w:r w:rsidRPr="00C4226B">
        <w:rPr>
          <w:snapToGrid w:val="0"/>
          <w:color w:val="000000"/>
          <w:szCs w:val="22"/>
          <w:u w:color="000000"/>
        </w:rPr>
        <w:tab/>
      </w:r>
      <w:r w:rsidR="00D91629">
        <w:rPr>
          <w:snapToGrid w:val="0"/>
          <w:color w:val="000000"/>
          <w:szCs w:val="22"/>
          <w:u w:color="000000"/>
        </w:rPr>
        <w:t>0</w:t>
      </w:r>
      <w:r w:rsidR="003556E7">
        <w:rPr>
          <w:snapToGrid w:val="0"/>
          <w:color w:val="000000"/>
          <w:szCs w:val="22"/>
          <w:u w:color="000000"/>
        </w:rPr>
        <w:t>4</w:t>
      </w:r>
      <w:r w:rsidR="00D91629">
        <w:rPr>
          <w:snapToGrid w:val="0"/>
          <w:color w:val="000000"/>
          <w:szCs w:val="22"/>
          <w:u w:color="000000"/>
        </w:rPr>
        <w:t>.0</w:t>
      </w:r>
      <w:r w:rsidR="00B84055">
        <w:rPr>
          <w:snapToGrid w:val="0"/>
          <w:color w:val="000000"/>
          <w:szCs w:val="22"/>
          <w:u w:color="000000"/>
        </w:rPr>
        <w:t>4</w:t>
      </w:r>
      <w:r w:rsidR="00D91629">
        <w:rPr>
          <w:snapToGrid w:val="0"/>
          <w:color w:val="000000"/>
          <w:szCs w:val="22"/>
          <w:u w:color="000000"/>
        </w:rPr>
        <w:t>.2019</w:t>
      </w:r>
    </w:p>
    <w:p w:rsidR="00FE5212" w:rsidRPr="00C4226B" w:rsidRDefault="00FB403B" w:rsidP="002E3A73">
      <w:pPr>
        <w:spacing w:line="240" w:lineRule="auto"/>
        <w:ind w:left="2829" w:firstLine="62"/>
        <w:rPr>
          <w:snapToGrid w:val="0"/>
          <w:color w:val="000000"/>
          <w:szCs w:val="22"/>
          <w:u w:color="000000"/>
        </w:rPr>
      </w:pPr>
      <w:r w:rsidRPr="00C4226B">
        <w:rPr>
          <w:snapToGrid w:val="0"/>
          <w:color w:val="000000"/>
          <w:szCs w:val="22"/>
          <w:u w:color="000000"/>
        </w:rPr>
        <w:t xml:space="preserve">Mag. </w:t>
      </w:r>
      <w:proofErr w:type="spellStart"/>
      <w:r w:rsidRPr="00C4226B">
        <w:rPr>
          <w:snapToGrid w:val="0"/>
          <w:color w:val="000000"/>
          <w:szCs w:val="22"/>
          <w:u w:color="000000"/>
        </w:rPr>
        <w:t>Huberta</w:t>
      </w:r>
      <w:proofErr w:type="spellEnd"/>
      <w:r w:rsidRPr="00C4226B">
        <w:rPr>
          <w:snapToGrid w:val="0"/>
          <w:color w:val="000000"/>
          <w:szCs w:val="22"/>
          <w:u w:color="000000"/>
        </w:rPr>
        <w:t xml:space="preserve"> </w:t>
      </w:r>
      <w:proofErr w:type="spellStart"/>
      <w:r w:rsidRPr="00C4226B">
        <w:rPr>
          <w:snapToGrid w:val="0"/>
          <w:color w:val="000000"/>
          <w:szCs w:val="22"/>
          <w:u w:color="000000"/>
        </w:rPr>
        <w:t>Maitz-Straßnig</w:t>
      </w:r>
      <w:proofErr w:type="spellEnd"/>
    </w:p>
    <w:p w:rsidR="00FB403B" w:rsidRDefault="00FB403B" w:rsidP="00FE5212">
      <w:pPr>
        <w:rPr>
          <w:snapToGrid w:val="0"/>
          <w:color w:val="000000"/>
          <w:szCs w:val="0"/>
          <w:u w:color="000000"/>
        </w:rPr>
      </w:pPr>
    </w:p>
    <w:p w:rsidR="00B735A3" w:rsidRPr="00CD1CF2" w:rsidRDefault="00B735A3" w:rsidP="00FE5212">
      <w:pPr>
        <w:rPr>
          <w:snapToGrid w:val="0"/>
          <w:color w:val="000000"/>
          <w:szCs w:val="0"/>
          <w:u w:color="000000"/>
        </w:rPr>
      </w:pPr>
    </w:p>
    <w:p w:rsidR="00B735A3" w:rsidRPr="00D91629" w:rsidRDefault="00D91629" w:rsidP="00B735A3">
      <w:pPr>
        <w:rPr>
          <w:b/>
        </w:rPr>
      </w:pPr>
      <w:r w:rsidRPr="00D91629">
        <w:rPr>
          <w:b/>
        </w:rPr>
        <w:t>RL-Vorschlag zur besseren Durchsetzung und Modernisierung von EU-Verbraucherschutz-RL – „Omni</w:t>
      </w:r>
      <w:r w:rsidR="005350DD">
        <w:rPr>
          <w:b/>
        </w:rPr>
        <w:t xml:space="preserve">bus“-RL, </w:t>
      </w:r>
      <w:proofErr w:type="spellStart"/>
      <w:r w:rsidR="005350DD">
        <w:rPr>
          <w:b/>
        </w:rPr>
        <w:t>Trilogeinigung</w:t>
      </w:r>
      <w:proofErr w:type="spellEnd"/>
      <w:r w:rsidR="005350DD">
        <w:rPr>
          <w:b/>
        </w:rPr>
        <w:t>, Bestätigung durch den IMCO-Ausschuss des EP</w:t>
      </w:r>
    </w:p>
    <w:p w:rsidR="00B735A3" w:rsidRDefault="00B735A3" w:rsidP="00B735A3"/>
    <w:p w:rsidR="00D91629" w:rsidRDefault="00D91629" w:rsidP="00D91629">
      <w:r>
        <w:t>Sehr geehrte Damen und Herren!</w:t>
      </w:r>
    </w:p>
    <w:p w:rsidR="00D91629" w:rsidRDefault="00D91629" w:rsidP="00D91629"/>
    <w:p w:rsidR="003B4028" w:rsidRDefault="003B4028" w:rsidP="00D91629">
      <w:r>
        <w:t xml:space="preserve">Wir nehmen Bezug auf unsere Aussendung vom </w:t>
      </w:r>
      <w:r w:rsidR="00974747">
        <w:t xml:space="preserve">6.3.2019 über den eiligen Fortschritt bei den Verhandlungen zur Omnibus-RL und teilen mit, dass – wie erwartet – die </w:t>
      </w:r>
      <w:proofErr w:type="spellStart"/>
      <w:r w:rsidR="00974747">
        <w:t>Trilogverhandlungen</w:t>
      </w:r>
      <w:proofErr w:type="spellEnd"/>
      <w:r w:rsidR="00974747">
        <w:t xml:space="preserve"> unter der Federführung des Berichterstatters MEP Dalton (UK) seitens des EP und der </w:t>
      </w:r>
      <w:r w:rsidR="006E34E5">
        <w:t>rumänischen Präsidentschaft sowie der Kommission offenbar sehr abschlussorienti</w:t>
      </w:r>
      <w:r w:rsidR="00D676F5">
        <w:t xml:space="preserve">ert </w:t>
      </w:r>
      <w:proofErr w:type="gramStart"/>
      <w:r w:rsidR="00D676F5">
        <w:t>geführt  wurden</w:t>
      </w:r>
      <w:proofErr w:type="gramEnd"/>
      <w:r w:rsidR="00D676F5">
        <w:t>. Die Ergebnisse der Einigung</w:t>
      </w:r>
      <w:r w:rsidR="006E34E5">
        <w:t xml:space="preserve"> wurde</w:t>
      </w:r>
      <w:r w:rsidR="00D676F5">
        <w:t xml:space="preserve">n sehr rasch vergangenen Freitag durch den </w:t>
      </w:r>
      <w:proofErr w:type="spellStart"/>
      <w:r w:rsidR="00D676F5">
        <w:t>Coreper</w:t>
      </w:r>
      <w:proofErr w:type="spellEnd"/>
      <w:r w:rsidR="00D676F5">
        <w:t xml:space="preserve"> (Botschafter der Mitgliedstaaten) und </w:t>
      </w:r>
      <w:r w:rsidR="006E34E5">
        <w:t xml:space="preserve">diese Woche auch bereits im </w:t>
      </w:r>
      <w:r w:rsidR="00F923A0">
        <w:t xml:space="preserve">IMCO-Ausschuss des EP bestätigt. </w:t>
      </w:r>
    </w:p>
    <w:p w:rsidR="003B4028" w:rsidRDefault="003B4028" w:rsidP="00D91629"/>
    <w:p w:rsidR="00D91629" w:rsidRDefault="00F923A0" w:rsidP="00D91629">
      <w:r>
        <w:t>Den nunmehr öffentlich zugänglichen</w:t>
      </w:r>
      <w:r w:rsidR="00D91629">
        <w:t xml:space="preserve"> Text</w:t>
      </w:r>
      <w:r>
        <w:t xml:space="preserve"> </w:t>
      </w:r>
      <w:r w:rsidR="00D91629">
        <w:t>finden sie angeschlossen (</w:t>
      </w:r>
      <w:proofErr w:type="spellStart"/>
      <w:r w:rsidR="00D91629">
        <w:t>DokNr</w:t>
      </w:r>
      <w:proofErr w:type="spellEnd"/>
      <w:r w:rsidR="00D91629">
        <w:t xml:space="preserve"> </w:t>
      </w:r>
      <w:r>
        <w:t>8021/</w:t>
      </w:r>
      <w:r w:rsidR="00D91629">
        <w:t>19, leider nur in englischer Fassung verfügbar).</w:t>
      </w:r>
    </w:p>
    <w:p w:rsidR="00D91629" w:rsidRDefault="00D91629" w:rsidP="00D91629"/>
    <w:p w:rsidR="00D91629" w:rsidRDefault="00B514B0" w:rsidP="00D91629">
      <w:r>
        <w:t xml:space="preserve">Hinzuweisen ist insbesondere </w:t>
      </w:r>
      <w:r w:rsidR="00D91629">
        <w:t>auf folgende Punkte</w:t>
      </w:r>
      <w:r w:rsidR="005350DD">
        <w:t xml:space="preserve"> (die </w:t>
      </w:r>
      <w:r w:rsidR="00F923A0">
        <w:t>Seitenangaben</w:t>
      </w:r>
      <w:r w:rsidR="005350DD">
        <w:t xml:space="preserve"> zur leichteren Auffindbarkeit</w:t>
      </w:r>
      <w:r w:rsidR="00F923A0">
        <w:t xml:space="preserve"> beziehen sich jeweils auf das angeschlossene Dokument)</w:t>
      </w:r>
      <w:r w:rsidR="00D91629">
        <w:t>:</w:t>
      </w:r>
    </w:p>
    <w:p w:rsidR="00D91629" w:rsidRDefault="00D91629" w:rsidP="00D91629"/>
    <w:p w:rsidR="00D91629" w:rsidRPr="001B72A7" w:rsidRDefault="00D91629" w:rsidP="001B72A7">
      <w:pPr>
        <w:pStyle w:val="Listenabsatz"/>
        <w:numPr>
          <w:ilvl w:val="0"/>
          <w:numId w:val="18"/>
        </w:numPr>
        <w:rPr>
          <w:b/>
        </w:rPr>
      </w:pPr>
      <w:r w:rsidRPr="001B72A7">
        <w:rPr>
          <w:b/>
        </w:rPr>
        <w:t>Individuelle Rechtsbehelfe im Falle unlauterer Geschäftspraktiken</w:t>
      </w:r>
    </w:p>
    <w:p w:rsidR="00D91629" w:rsidRDefault="00D91629" w:rsidP="00D91629"/>
    <w:p w:rsidR="00D91629" w:rsidRDefault="00D91629" w:rsidP="00D91629">
      <w:r>
        <w:t xml:space="preserve">Die </w:t>
      </w:r>
      <w:r w:rsidRPr="001E57BF">
        <w:rPr>
          <w:b/>
        </w:rPr>
        <w:t>Bestimmungen über individuelle Rechtsbehelfe</w:t>
      </w:r>
      <w:r>
        <w:t xml:space="preserve"> sind im Vergleich zum Vorschlag der Kommission flexibler</w:t>
      </w:r>
      <w:r w:rsidR="007363BA">
        <w:t xml:space="preserve"> </w:t>
      </w:r>
      <w:proofErr w:type="spellStart"/>
      <w:r w:rsidR="007363BA">
        <w:t>bzw</w:t>
      </w:r>
      <w:proofErr w:type="spellEnd"/>
      <w:r w:rsidR="007363BA">
        <w:t xml:space="preserve"> </w:t>
      </w:r>
      <w:r w:rsidR="007363BA" w:rsidRPr="001E57BF">
        <w:rPr>
          <w:b/>
        </w:rPr>
        <w:t>softer</w:t>
      </w:r>
      <w:r w:rsidR="00F923A0" w:rsidRPr="001E57BF">
        <w:rPr>
          <w:b/>
        </w:rPr>
        <w:t xml:space="preserve"> gestaltet</w:t>
      </w:r>
      <w:r w:rsidR="00F923A0">
        <w:t>, wird</w:t>
      </w:r>
      <w:r>
        <w:t xml:space="preserve"> den Mitgliedstaaten also mehr Handlungsspielraum ermöglichen, die Rechtsbehelfe systemkonform </w:t>
      </w:r>
      <w:r w:rsidR="007363BA">
        <w:t>vorzusehen (Art 11a neu UGP-RL</w:t>
      </w:r>
      <w:r w:rsidR="00F923A0">
        <w:t>, S 45)</w:t>
      </w:r>
      <w:r>
        <w:t>.</w:t>
      </w:r>
    </w:p>
    <w:p w:rsidR="00D91629" w:rsidRDefault="00D91629" w:rsidP="00D91629"/>
    <w:p w:rsidR="00D91629" w:rsidRPr="001B72A7" w:rsidRDefault="00D91629" w:rsidP="001B72A7">
      <w:pPr>
        <w:pStyle w:val="Listenabsatz"/>
        <w:numPr>
          <w:ilvl w:val="0"/>
          <w:numId w:val="18"/>
        </w:numPr>
        <w:rPr>
          <w:b/>
        </w:rPr>
      </w:pPr>
      <w:r w:rsidRPr="001B72A7">
        <w:rPr>
          <w:b/>
        </w:rPr>
        <w:t>Regelungen zu Sanktionen</w:t>
      </w:r>
    </w:p>
    <w:p w:rsidR="00D91629" w:rsidRDefault="00D91629" w:rsidP="00D91629"/>
    <w:p w:rsidR="00E9598E" w:rsidRDefault="007363BA" w:rsidP="00E9598E">
      <w:r>
        <w:t>Die Bestimmungen über</w:t>
      </w:r>
      <w:r w:rsidR="00D91629">
        <w:t xml:space="preserve"> Geldstrafen mit Höchstsätzen von mindestens 4</w:t>
      </w:r>
      <w:r w:rsidR="00A4458A">
        <w:t xml:space="preserve"> </w:t>
      </w:r>
      <w:r w:rsidR="00D91629">
        <w:t xml:space="preserve">% des Jahresumsatzes </w:t>
      </w:r>
      <w:r>
        <w:t xml:space="preserve">werden </w:t>
      </w:r>
      <w:r w:rsidR="00D91629" w:rsidRPr="001E57BF">
        <w:rPr>
          <w:b/>
        </w:rPr>
        <w:t>auf den Fall einer koordinierten Durchsetzungsaktion nach Art 21</w:t>
      </w:r>
      <w:r w:rsidR="00D91629">
        <w:t xml:space="preserve"> </w:t>
      </w:r>
      <w:proofErr w:type="spellStart"/>
      <w:r w:rsidR="00D91629">
        <w:t>VerbraucherbehördenkooperationsVO</w:t>
      </w:r>
      <w:proofErr w:type="spellEnd"/>
      <w:r w:rsidR="00D91629">
        <w:t xml:space="preserve"> (Consumer </w:t>
      </w:r>
      <w:proofErr w:type="spellStart"/>
      <w:r w:rsidR="00D91629">
        <w:t>Protection</w:t>
      </w:r>
      <w:proofErr w:type="spellEnd"/>
      <w:r w:rsidR="00D91629">
        <w:t xml:space="preserve"> </w:t>
      </w:r>
      <w:proofErr w:type="spellStart"/>
      <w:r w:rsidR="00D91629">
        <w:t>Coop</w:t>
      </w:r>
      <w:r>
        <w:t>eration</w:t>
      </w:r>
      <w:proofErr w:type="spellEnd"/>
      <w:r>
        <w:t xml:space="preserve"> –VO, CPC-VO) </w:t>
      </w:r>
      <w:r w:rsidRPr="001E57BF">
        <w:rPr>
          <w:b/>
        </w:rPr>
        <w:t>beschränkt</w:t>
      </w:r>
      <w:r w:rsidR="00D91629">
        <w:t xml:space="preserve">. </w:t>
      </w:r>
      <w:r w:rsidR="00E9598E">
        <w:t xml:space="preserve">Der vom EP geforderte Mindesthöchstbetrag von jedenfalls </w:t>
      </w:r>
      <w:r w:rsidR="00E9598E" w:rsidRPr="001E57BF">
        <w:rPr>
          <w:b/>
        </w:rPr>
        <w:t>10 000 000 Euro</w:t>
      </w:r>
      <w:r w:rsidR="00E9598E">
        <w:t xml:space="preserve"> als Alternative zu den 4</w:t>
      </w:r>
      <w:r w:rsidR="002A53A6">
        <w:t xml:space="preserve"> </w:t>
      </w:r>
      <w:r w:rsidR="00E9598E">
        <w:t xml:space="preserve">% des Jahresumsatzes wird nun </w:t>
      </w:r>
      <w:r w:rsidR="00E9598E" w:rsidRPr="001E57BF">
        <w:rPr>
          <w:b/>
        </w:rPr>
        <w:t>nicht vorgesehen</w:t>
      </w:r>
      <w:r w:rsidR="00E9598E">
        <w:t xml:space="preserve">. </w:t>
      </w:r>
      <w:r w:rsidR="00F923A0">
        <w:t>Ein</w:t>
      </w:r>
      <w:r w:rsidR="00E9598E">
        <w:t xml:space="preserve"> Mindesthöchstbetrag </w:t>
      </w:r>
      <w:r w:rsidR="00E9598E">
        <w:lastRenderedPageBreak/>
        <w:t xml:space="preserve">wird nun mit </w:t>
      </w:r>
      <w:r w:rsidR="00E9598E" w:rsidRPr="001E57BF">
        <w:rPr>
          <w:b/>
        </w:rPr>
        <w:t xml:space="preserve">2 </w:t>
      </w:r>
      <w:proofErr w:type="spellStart"/>
      <w:r w:rsidR="00E9598E" w:rsidRPr="001E57BF">
        <w:rPr>
          <w:b/>
        </w:rPr>
        <w:t>Mio</w:t>
      </w:r>
      <w:proofErr w:type="spellEnd"/>
      <w:r w:rsidR="00E9598E" w:rsidRPr="001E57BF">
        <w:rPr>
          <w:b/>
        </w:rPr>
        <w:t xml:space="preserve"> Euro</w:t>
      </w:r>
      <w:r w:rsidR="00E9598E">
        <w:t xml:space="preserve"> für den Fall festgelegt, dass Informationen zum Jahresumsatz nicht verfügbar sind (Art </w:t>
      </w:r>
      <w:r w:rsidR="00F923A0">
        <w:t xml:space="preserve">13/4 neu UGP-RL, S 48, </w:t>
      </w:r>
      <w:r w:rsidR="00E9598E">
        <w:t>sowie die Parallelbestimmungen in den anderen RL</w:t>
      </w:r>
      <w:r w:rsidR="006B2600">
        <w:t>, mit Ausnahme der Preisauszeichnungs-RL)</w:t>
      </w:r>
      <w:r w:rsidR="00E9598E">
        <w:t>.</w:t>
      </w:r>
    </w:p>
    <w:p w:rsidR="00E9598E" w:rsidRDefault="00E9598E" w:rsidP="00E9598E"/>
    <w:p w:rsidR="00D91629" w:rsidRDefault="00D91629" w:rsidP="00D91629">
      <w:r>
        <w:t>Im Falle der UGP-RL soll den Bedenken mancher MS (</w:t>
      </w:r>
      <w:proofErr w:type="spellStart"/>
      <w:r>
        <w:t>ua</w:t>
      </w:r>
      <w:proofErr w:type="spellEnd"/>
      <w:r>
        <w:t xml:space="preserve"> Ö) hinsichtlich des Bestimmtheitsgebots dadurch Rechnung getragen werden, dass jedenfalls die </w:t>
      </w:r>
      <w:r w:rsidRPr="001E57BF">
        <w:rPr>
          <w:b/>
        </w:rPr>
        <w:t>„große Generalklausel“ nicht zwingend unmittelbar mit Geldstr</w:t>
      </w:r>
      <w:r w:rsidR="00F923A0" w:rsidRPr="001E57BF">
        <w:rPr>
          <w:b/>
        </w:rPr>
        <w:t xml:space="preserve">afen sanktioniert </w:t>
      </w:r>
      <w:r w:rsidR="00F923A0">
        <w:t>werden muss</w:t>
      </w:r>
      <w:r>
        <w:t xml:space="preserve"> (siehe Art 13/</w:t>
      </w:r>
      <w:r w:rsidR="007363BA">
        <w:t>3</w:t>
      </w:r>
      <w:r>
        <w:t xml:space="preserve"> neu UGP-RL). Bei der </w:t>
      </w:r>
      <w:r w:rsidRPr="001E57BF">
        <w:rPr>
          <w:b/>
        </w:rPr>
        <w:t>Klausel-RL</w:t>
      </w:r>
      <w:r>
        <w:t xml:space="preserve"> (RL 93/13) sollen die MS die Option haben, </w:t>
      </w:r>
      <w:r w:rsidRPr="001E57BF">
        <w:rPr>
          <w:b/>
        </w:rPr>
        <w:t>Sanktionen nur dann vorzusehen</w:t>
      </w:r>
      <w:r>
        <w:t xml:space="preserve">, wenn bestimmte Klauseln gesetzlich als jedenfalls unzulässig bestimmt sind oder </w:t>
      </w:r>
      <w:r w:rsidRPr="001E57BF">
        <w:rPr>
          <w:b/>
        </w:rPr>
        <w:t>gegen eine Unterlassungsverfügung verstoßen</w:t>
      </w:r>
      <w:r>
        <w:t xml:space="preserve"> wird (Art </w:t>
      </w:r>
      <w:r w:rsidR="00E9598E">
        <w:t>8b</w:t>
      </w:r>
      <w:r>
        <w:t xml:space="preserve"> neu RL Klausel-RL)</w:t>
      </w:r>
      <w:r w:rsidR="007363BA">
        <w:t>.</w:t>
      </w:r>
    </w:p>
    <w:p w:rsidR="00D91629" w:rsidRDefault="00D91629" w:rsidP="00D91629"/>
    <w:p w:rsidR="00D91629" w:rsidRDefault="00D91629" w:rsidP="00D91629">
      <w:r>
        <w:t>Eine generelle Verpflichtung – wie dies der EK-Vorsc</w:t>
      </w:r>
      <w:r w:rsidR="00F923A0">
        <w:t>hlag vorgesehen hatte – für jegliche</w:t>
      </w:r>
      <w:r>
        <w:t>, auch nicht von Art 21</w:t>
      </w:r>
      <w:r w:rsidR="004D6842">
        <w:t xml:space="preserve"> CPC-VO</w:t>
      </w:r>
      <w:r>
        <w:t xml:space="preserve"> erfasste Fälle eines Verstoßes Geldstrafen vorzusehen, dürfte sich nach der nunmehrigen Formulierung des Art 13 </w:t>
      </w:r>
      <w:proofErr w:type="spellStart"/>
      <w:r>
        <w:t>Abs</w:t>
      </w:r>
      <w:proofErr w:type="spellEnd"/>
      <w:r>
        <w:t xml:space="preserve"> 2 neu UGP-RL (und den jeweiligen Parall</w:t>
      </w:r>
      <w:r w:rsidR="00C96A39">
        <w:t>el</w:t>
      </w:r>
      <w:r>
        <w:t>b</w:t>
      </w:r>
      <w:r w:rsidR="00C96A39">
        <w:t xml:space="preserve">estimmungen in den anderen RL) </w:t>
      </w:r>
      <w:proofErr w:type="spellStart"/>
      <w:r w:rsidR="004D6842">
        <w:t>uE</w:t>
      </w:r>
      <w:proofErr w:type="spellEnd"/>
      <w:r w:rsidR="004D6842">
        <w:t xml:space="preserve"> nach erster Einschätzung </w:t>
      </w:r>
      <w:r>
        <w:t>zumindest nicht</w:t>
      </w:r>
      <w:r w:rsidR="00F0478C">
        <w:t xml:space="preserve"> mehr</w:t>
      </w:r>
      <w:r>
        <w:t xml:space="preserve"> zw</w:t>
      </w:r>
      <w:r w:rsidR="007363BA">
        <w:t>ingend ergeben (siehe auch EG 6</w:t>
      </w:r>
      <w:r>
        <w:t xml:space="preserve">). </w:t>
      </w:r>
    </w:p>
    <w:p w:rsidR="00D91629" w:rsidRDefault="00D91629" w:rsidP="00D91629"/>
    <w:p w:rsidR="00D91629" w:rsidRDefault="004D6842" w:rsidP="00D91629">
      <w:r>
        <w:t xml:space="preserve">In der Preisauszeichnungs-RL </w:t>
      </w:r>
      <w:r w:rsidR="002D67F4">
        <w:t>wurde d</w:t>
      </w:r>
      <w:r w:rsidR="00D91629">
        <w:t xml:space="preserve">ie Festlegung eines Mindesthöchstsatzes </w:t>
      </w:r>
      <w:r w:rsidR="00E9598E">
        <w:t xml:space="preserve">für Geldstrafen </w:t>
      </w:r>
      <w:r w:rsidR="00D91629">
        <w:t>von 4</w:t>
      </w:r>
      <w:r w:rsidR="00C96A39">
        <w:t xml:space="preserve"> </w:t>
      </w:r>
      <w:r w:rsidR="00D91629">
        <w:t>% des Jahresumsatzes gestr</w:t>
      </w:r>
      <w:r w:rsidR="00E9598E">
        <w:t>ichen (Art 8 neu RL 98/6</w:t>
      </w:r>
      <w:r w:rsidR="00C96A39">
        <w:t>).</w:t>
      </w:r>
    </w:p>
    <w:p w:rsidR="00D91629" w:rsidRDefault="00D91629" w:rsidP="00D91629"/>
    <w:p w:rsidR="00D91629" w:rsidRPr="00F51BBC" w:rsidRDefault="00D91629" w:rsidP="00F51BBC">
      <w:pPr>
        <w:pStyle w:val="Listenabsatz"/>
        <w:numPr>
          <w:ilvl w:val="0"/>
          <w:numId w:val="17"/>
        </w:numPr>
        <w:rPr>
          <w:b/>
        </w:rPr>
      </w:pPr>
      <w:r w:rsidRPr="00F51BBC">
        <w:rPr>
          <w:b/>
        </w:rPr>
        <w:t>Änderung</w:t>
      </w:r>
      <w:r w:rsidR="001D4B41">
        <w:rPr>
          <w:b/>
        </w:rPr>
        <w:t>en</w:t>
      </w:r>
      <w:r w:rsidRPr="00F51BBC">
        <w:rPr>
          <w:b/>
        </w:rPr>
        <w:t xml:space="preserve"> der Verbraucherrechte-RL (RL 2011/83/EU, RLV)</w:t>
      </w:r>
    </w:p>
    <w:p w:rsidR="00D91629" w:rsidRDefault="00D91629" w:rsidP="00D91629">
      <w:pPr>
        <w:rPr>
          <w:b/>
        </w:rPr>
      </w:pPr>
    </w:p>
    <w:p w:rsidR="005E5A8C" w:rsidRPr="00F0478C" w:rsidRDefault="005E5A8C" w:rsidP="00F0478C">
      <w:pPr>
        <w:pStyle w:val="Listenabsatz"/>
        <w:numPr>
          <w:ilvl w:val="0"/>
          <w:numId w:val="19"/>
        </w:numPr>
      </w:pPr>
      <w:r w:rsidRPr="00F0478C">
        <w:t xml:space="preserve">Widerrufsrecht: </w:t>
      </w:r>
    </w:p>
    <w:p w:rsidR="005E5A8C" w:rsidRPr="005E5A8C" w:rsidRDefault="005E5A8C" w:rsidP="005E5A8C">
      <w:pPr>
        <w:ind w:firstLine="426"/>
        <w:rPr>
          <w:b/>
        </w:rPr>
      </w:pPr>
    </w:p>
    <w:p w:rsidR="006B2600" w:rsidRPr="001E57BF" w:rsidRDefault="006B2600" w:rsidP="00D91629">
      <w:pPr>
        <w:rPr>
          <w:b/>
        </w:rPr>
      </w:pPr>
      <w:r>
        <w:t xml:space="preserve">Das </w:t>
      </w:r>
      <w:r w:rsidR="00D91629">
        <w:t xml:space="preserve">EP </w:t>
      </w:r>
      <w:r>
        <w:t>und</w:t>
      </w:r>
      <w:r w:rsidR="00D91629">
        <w:t xml:space="preserve"> auch die überwältigende Mehrheit der Mitgliedstaaten </w:t>
      </w:r>
      <w:r>
        <w:t xml:space="preserve">hatten </w:t>
      </w:r>
      <w:r w:rsidR="00D91629">
        <w:t xml:space="preserve">den </w:t>
      </w:r>
      <w:r w:rsidR="00D91629" w:rsidRPr="001E57BF">
        <w:rPr>
          <w:b/>
        </w:rPr>
        <w:t>Entfall des Widerrufsrechts</w:t>
      </w:r>
      <w:r w:rsidR="00D91629">
        <w:t xml:space="preserve">, wenn die </w:t>
      </w:r>
      <w:r w:rsidR="00D91629" w:rsidRPr="001E57BF">
        <w:rPr>
          <w:b/>
        </w:rPr>
        <w:t>Ware</w:t>
      </w:r>
      <w:r w:rsidR="00D91629">
        <w:t xml:space="preserve"> nicht nur ausprobiert, sondern </w:t>
      </w:r>
      <w:r w:rsidR="00D91629" w:rsidRPr="001E57BF">
        <w:rPr>
          <w:b/>
        </w:rPr>
        <w:t>tatsächlich benutzt</w:t>
      </w:r>
      <w:r w:rsidR="00D91629">
        <w:t xml:space="preserve"> wurde, als nicht akzeptable Verschlechterung des Verbraucherschutzes ab</w:t>
      </w:r>
      <w:r>
        <w:t>gelehnt.</w:t>
      </w:r>
      <w:r w:rsidR="00D91629">
        <w:t xml:space="preserve"> Die</w:t>
      </w:r>
      <w:r w:rsidR="005E5A8C">
        <w:t xml:space="preserve"> diesbezügliche</w:t>
      </w:r>
      <w:r w:rsidR="00D91629">
        <w:t xml:space="preserve"> im EK-Vorschlag vorgesehene Bestimmung </w:t>
      </w:r>
      <w:r>
        <w:t xml:space="preserve">in Art 16 </w:t>
      </w:r>
      <w:r w:rsidR="00F0478C">
        <w:t xml:space="preserve">wurde somit </w:t>
      </w:r>
      <w:r w:rsidR="00F0478C" w:rsidRPr="001E57BF">
        <w:rPr>
          <w:b/>
        </w:rPr>
        <w:t xml:space="preserve">gestrichen. </w:t>
      </w:r>
      <w:r w:rsidRPr="001E57BF">
        <w:rPr>
          <w:b/>
        </w:rPr>
        <w:t xml:space="preserve"> </w:t>
      </w:r>
    </w:p>
    <w:p w:rsidR="006B2600" w:rsidRPr="001E57BF" w:rsidRDefault="006B2600" w:rsidP="00D91629">
      <w:pPr>
        <w:rPr>
          <w:b/>
        </w:rPr>
      </w:pPr>
    </w:p>
    <w:p w:rsidR="00D91629" w:rsidRDefault="006B2600" w:rsidP="00D91629">
      <w:r>
        <w:t>D</w:t>
      </w:r>
      <w:r w:rsidR="00D91629">
        <w:t xml:space="preserve">en </w:t>
      </w:r>
      <w:r w:rsidR="00007A4B">
        <w:t>Mitgliedstaaten</w:t>
      </w:r>
      <w:r w:rsidR="00D91629">
        <w:t xml:space="preserve"> </w:t>
      </w:r>
      <w:r w:rsidR="00007A4B">
        <w:t xml:space="preserve">wird in </w:t>
      </w:r>
      <w:r w:rsidR="00F0478C">
        <w:t>einem neuen Absatz des</w:t>
      </w:r>
      <w:r>
        <w:t xml:space="preserve"> Art 16 </w:t>
      </w:r>
      <w:r w:rsidR="00F0478C">
        <w:t xml:space="preserve">(S 66) </w:t>
      </w:r>
      <w:r w:rsidR="00D91629">
        <w:t>die Option eingeräumt, im Falle von Reparaturarbeiten für die der Verbraucher einen Besuch des Unternehmers angefordert hat, das Widerrufsrecht auch dann entfallen zu lassen, wenn der Verbraucher den „vorzeitigen“ Entfall des Widerrufsrechts „nicht zur Kenntnis genommen“ hat (dies sollte - s</w:t>
      </w:r>
      <w:r w:rsidR="00C96A39">
        <w:t xml:space="preserve">o zumindest die Sichtweise von </w:t>
      </w:r>
      <w:r w:rsidR="00D91629">
        <w:t xml:space="preserve">Vertretern aus anderen MS - eine Erleichterung </w:t>
      </w:r>
      <w:proofErr w:type="spellStart"/>
      <w:r w:rsidR="00D91629">
        <w:t>iV</w:t>
      </w:r>
      <w:proofErr w:type="spellEnd"/>
      <w:r w:rsidR="00D91629">
        <w:t xml:space="preserve"> zum Entfall des Widerrufsrechts bei DL nach Art 16 </w:t>
      </w:r>
      <w:proofErr w:type="spellStart"/>
      <w:r w:rsidR="00D91629">
        <w:t>lit</w:t>
      </w:r>
      <w:proofErr w:type="spellEnd"/>
      <w:r w:rsidR="00D91629">
        <w:t xml:space="preserve"> a darstellen). </w:t>
      </w:r>
    </w:p>
    <w:p w:rsidR="006B2600" w:rsidRDefault="006B2600" w:rsidP="00D91629"/>
    <w:p w:rsidR="006B2600" w:rsidRDefault="006B2600" w:rsidP="00D91629">
      <w:r>
        <w:t>Außerdem wird den Mitgliedstaaten die Option eingeräumt</w:t>
      </w:r>
      <w:r w:rsidR="003C65B5">
        <w:t>,</w:t>
      </w:r>
      <w:r>
        <w:t xml:space="preserve"> bestimmte der in Art 16 geregelten Ausnahmen vom Widerrufsrecht (</w:t>
      </w:r>
      <w:proofErr w:type="spellStart"/>
      <w:r>
        <w:t>lit</w:t>
      </w:r>
      <w:proofErr w:type="spellEnd"/>
      <w:r>
        <w:t xml:space="preserve"> a</w:t>
      </w:r>
      <w:r w:rsidR="00325579">
        <w:t xml:space="preserve"> – Entfall bei Dienstleistungen, </w:t>
      </w:r>
      <w:proofErr w:type="spellStart"/>
      <w:r w:rsidR="00325579">
        <w:t>lit</w:t>
      </w:r>
      <w:proofErr w:type="spellEnd"/>
      <w:r w:rsidR="00325579">
        <w:t xml:space="preserve"> b – bei </w:t>
      </w:r>
      <w:r w:rsidR="003C65B5">
        <w:t xml:space="preserve">durch Finanzmarkt bedingten </w:t>
      </w:r>
      <w:r w:rsidR="00325579">
        <w:t>Preiss</w:t>
      </w:r>
      <w:r w:rsidR="003C65B5">
        <w:t>chwankungen</w:t>
      </w:r>
      <w:r w:rsidR="00325579">
        <w:t xml:space="preserve">, </w:t>
      </w:r>
      <w:proofErr w:type="spellStart"/>
      <w:r w:rsidR="00325579">
        <w:t>lit</w:t>
      </w:r>
      <w:proofErr w:type="spellEnd"/>
      <w:r w:rsidR="00325579">
        <w:t xml:space="preserve"> c – nach Kunde</w:t>
      </w:r>
      <w:r w:rsidR="003C65B5">
        <w:t xml:space="preserve">nspezifikation gefertigte Waren, </w:t>
      </w:r>
      <w:proofErr w:type="spellStart"/>
      <w:r w:rsidR="003C65B5">
        <w:t>lit</w:t>
      </w:r>
      <w:proofErr w:type="spellEnd"/>
      <w:r w:rsidR="003C65B5">
        <w:t xml:space="preserve"> d – aus Hygiene-u Gesundheitsgründen versiegelt Waren) nicht zu gewähren, wenn es sich um Verträge handelt, die im Rahmen eines unaufgeforderten Besuchs oder einer „Werbefahrt“ geschlossen wurden.</w:t>
      </w:r>
      <w:r w:rsidR="00B44472">
        <w:t xml:space="preserve"> In diesen Fällen können die MS </w:t>
      </w:r>
      <w:r w:rsidR="005E5A8C">
        <w:t xml:space="preserve">die </w:t>
      </w:r>
      <w:r w:rsidR="00B44472">
        <w:t>14-tägige Rücktrittsfr</w:t>
      </w:r>
      <w:r w:rsidR="00242FE3">
        <w:t>ist auch auf 30 Tage verlängern (Art 9/1a neu VRL</w:t>
      </w:r>
      <w:r w:rsidR="00F0478C">
        <w:t>, S 62</w:t>
      </w:r>
      <w:r w:rsidR="00242FE3">
        <w:t>).</w:t>
      </w:r>
    </w:p>
    <w:p w:rsidR="00D91629" w:rsidRDefault="00D91629" w:rsidP="00D91629"/>
    <w:p w:rsidR="00D91629" w:rsidRDefault="00D91629" w:rsidP="00D91629">
      <w:r>
        <w:t>Hinzuweisen ist betr. Ausnahmen vom Rücktrittsrecht</w:t>
      </w:r>
      <w:r w:rsidR="00007A4B">
        <w:t>, dass sich der im EP angenommene</w:t>
      </w:r>
      <w:r>
        <w:t xml:space="preserve"> Änderungsantrag (ÄA 78</w:t>
      </w:r>
      <w:r w:rsidR="006E34E5">
        <w:t xml:space="preserve"> </w:t>
      </w:r>
      <w:hyperlink r:id="rId9" w:history="1">
        <w:r w:rsidR="006E34E5" w:rsidRPr="004735BB">
          <w:rPr>
            <w:rStyle w:val="Hyperlink"/>
          </w:rPr>
          <w:t>http://www.europarl.europa.eu/doceo/document/A-8-2019-0029_DE.html?redirect</w:t>
        </w:r>
      </w:hyperlink>
      <w:r>
        <w:t>), der die Ausnahme vom Widerrufsrecht für dringende Reparaturarbeiten auch auf andere kurzfristig zu erbringende Dienstleistungen erweiter</w:t>
      </w:r>
      <w:r w:rsidR="00F0478C">
        <w:t>t hätte</w:t>
      </w:r>
      <w:r>
        <w:t xml:space="preserve"> (womit </w:t>
      </w:r>
      <w:proofErr w:type="spellStart"/>
      <w:r>
        <w:t>zB</w:t>
      </w:r>
      <w:proofErr w:type="spellEnd"/>
      <w:r>
        <w:t xml:space="preserve"> Bestattungsd</w:t>
      </w:r>
      <w:r w:rsidR="00F0478C">
        <w:t>ienstleistungen erfasst worden wären</w:t>
      </w:r>
      <w:r w:rsidR="00007A4B">
        <w:t xml:space="preserve">), </w:t>
      </w:r>
      <w:r w:rsidR="00F0478C">
        <w:t xml:space="preserve">in den Triologverhandlungen </w:t>
      </w:r>
      <w:r w:rsidR="00007A4B">
        <w:t>nicht durch</w:t>
      </w:r>
      <w:r w:rsidR="00F0478C">
        <w:t xml:space="preserve">gesetzt </w:t>
      </w:r>
      <w:r w:rsidR="002D332A">
        <w:t xml:space="preserve">und </w:t>
      </w:r>
      <w:r w:rsidR="00F0478C">
        <w:t xml:space="preserve">damit nicht </w:t>
      </w:r>
      <w:r w:rsidR="002D332A">
        <w:t xml:space="preserve">Eingang </w:t>
      </w:r>
      <w:r w:rsidR="00F0478C">
        <w:t xml:space="preserve">in den Text </w:t>
      </w:r>
      <w:r w:rsidR="002D332A">
        <w:t>gefunden hat</w:t>
      </w:r>
      <w:r w:rsidR="00007A4B">
        <w:t>.</w:t>
      </w:r>
    </w:p>
    <w:p w:rsidR="00D91629" w:rsidRDefault="00D91629" w:rsidP="00D91629"/>
    <w:p w:rsidR="00007A4B" w:rsidRPr="00F0478C" w:rsidRDefault="00007A4B" w:rsidP="00F0478C">
      <w:pPr>
        <w:pStyle w:val="Listenabsatz"/>
        <w:numPr>
          <w:ilvl w:val="0"/>
          <w:numId w:val="19"/>
        </w:numPr>
      </w:pPr>
      <w:r w:rsidRPr="00F0478C">
        <w:t xml:space="preserve">Informationspflichten für </w:t>
      </w:r>
      <w:r w:rsidR="002A53A6">
        <w:t>O</w:t>
      </w:r>
      <w:r w:rsidR="003B4028" w:rsidRPr="00F0478C">
        <w:t>nline-</w:t>
      </w:r>
      <w:r w:rsidR="006E34E5" w:rsidRPr="00F0478C">
        <w:t>M</w:t>
      </w:r>
      <w:r w:rsidRPr="00F0478C">
        <w:t>ark</w:t>
      </w:r>
      <w:r w:rsidR="006E34E5" w:rsidRPr="00F0478C">
        <w:t>t</w:t>
      </w:r>
      <w:r w:rsidRPr="00F0478C">
        <w:t>plätze</w:t>
      </w:r>
      <w:r w:rsidR="002D332A" w:rsidRPr="00F0478C">
        <w:t>:</w:t>
      </w:r>
    </w:p>
    <w:p w:rsidR="00007A4B" w:rsidRDefault="00007A4B" w:rsidP="00007A4B">
      <w:pPr>
        <w:pStyle w:val="Listenabsatz"/>
      </w:pPr>
    </w:p>
    <w:p w:rsidR="00346DEC" w:rsidRDefault="00D91629" w:rsidP="00346DEC">
      <w:r>
        <w:t>D</w:t>
      </w:r>
      <w:r w:rsidR="005E5A8C">
        <w:t>ie Verbraucherrechte-RL wird</w:t>
      </w:r>
      <w:r>
        <w:t xml:space="preserve"> </w:t>
      </w:r>
      <w:proofErr w:type="spellStart"/>
      <w:r>
        <w:t>ua</w:t>
      </w:r>
      <w:proofErr w:type="spellEnd"/>
      <w:r>
        <w:t xml:space="preserve"> um Informationspflichten für </w:t>
      </w:r>
      <w:r w:rsidR="00A4458A">
        <w:t>O</w:t>
      </w:r>
      <w:r>
        <w:t>nline-Markpl</w:t>
      </w:r>
      <w:r w:rsidR="005E5A8C">
        <w:t>ätze ergänzt</w:t>
      </w:r>
      <w:r w:rsidR="00007A4B">
        <w:t xml:space="preserve"> (Art 6a neu</w:t>
      </w:r>
      <w:r w:rsidR="00B44472">
        <w:t xml:space="preserve"> RLV</w:t>
      </w:r>
      <w:r w:rsidR="005E5A8C">
        <w:t>,</w:t>
      </w:r>
      <w:r w:rsidR="00554241">
        <w:t xml:space="preserve"> S 58 ff</w:t>
      </w:r>
      <w:r w:rsidR="00B44472">
        <w:t xml:space="preserve"> </w:t>
      </w:r>
      <w:proofErr w:type="spellStart"/>
      <w:r w:rsidR="00B44472">
        <w:t>ua</w:t>
      </w:r>
      <w:proofErr w:type="spellEnd"/>
      <w:r w:rsidR="00B44472">
        <w:t xml:space="preserve"> </w:t>
      </w:r>
      <w:proofErr w:type="spellStart"/>
      <w:r w:rsidR="00B44472">
        <w:t>betr</w:t>
      </w:r>
      <w:proofErr w:type="spellEnd"/>
      <w:r w:rsidR="00B44472">
        <w:t xml:space="preserve"> Informationen</w:t>
      </w:r>
      <w:r>
        <w:t xml:space="preserve"> über </w:t>
      </w:r>
      <w:r w:rsidR="00007A4B">
        <w:t xml:space="preserve">Rankings von Angeboten </w:t>
      </w:r>
      <w:r w:rsidR="00346DEC">
        <w:t>und deren relative Gewichtung). Wenn der Anbieter auf dem Markplatz kein Unternehmer ist, ist darüber zu informieren, dass EU-Verbraucherrechte nicht zur Anwendung kommen.</w:t>
      </w:r>
    </w:p>
    <w:p w:rsidR="00346DEC" w:rsidRDefault="00346DEC" w:rsidP="00346DEC"/>
    <w:p w:rsidR="00CE144C" w:rsidRPr="00F0478C" w:rsidRDefault="002D332A" w:rsidP="00F0478C">
      <w:pPr>
        <w:pStyle w:val="Listenabsatz"/>
        <w:numPr>
          <w:ilvl w:val="0"/>
          <w:numId w:val="19"/>
        </w:numPr>
      </w:pPr>
      <w:r w:rsidRPr="00F0478C">
        <w:t>Sonstige Änderungen:</w:t>
      </w:r>
    </w:p>
    <w:p w:rsidR="00F51BBC" w:rsidRPr="002D332A" w:rsidRDefault="00F51BBC" w:rsidP="00F51BBC">
      <w:pPr>
        <w:ind w:firstLine="708"/>
        <w:rPr>
          <w:b/>
        </w:rPr>
      </w:pPr>
    </w:p>
    <w:p w:rsidR="00CE144C" w:rsidRDefault="00CE144C" w:rsidP="00CE144C">
      <w:r>
        <w:t xml:space="preserve">Nach Art 6/1 </w:t>
      </w:r>
      <w:proofErr w:type="spellStart"/>
      <w:r>
        <w:t>lit</w:t>
      </w:r>
      <w:proofErr w:type="spellEnd"/>
      <w:r>
        <w:t xml:space="preserve"> c</w:t>
      </w:r>
      <w:r w:rsidR="001D4B41">
        <w:t xml:space="preserve"> neu</w:t>
      </w:r>
      <w:r w:rsidR="00346DEC">
        <w:t xml:space="preserve"> (S</w:t>
      </w:r>
      <w:r w:rsidR="0061701B">
        <w:t xml:space="preserve"> 56)</w:t>
      </w:r>
      <w:r w:rsidR="00346DEC">
        <w:t xml:space="preserve"> </w:t>
      </w:r>
      <w:r w:rsidR="00F0478C">
        <w:t>wird</w:t>
      </w:r>
      <w:r>
        <w:t xml:space="preserve"> künftig verpflichtend die Telefonnummer </w:t>
      </w:r>
      <w:r w:rsidRPr="00554241">
        <w:rPr>
          <w:b/>
        </w:rPr>
        <w:t>und</w:t>
      </w:r>
      <w:r>
        <w:t xml:space="preserve"> E-Mail-Adresse angegeben werden müssen. </w:t>
      </w:r>
    </w:p>
    <w:p w:rsidR="00554241" w:rsidRDefault="00554241" w:rsidP="00CE144C"/>
    <w:p w:rsidR="00554241" w:rsidRDefault="00554241" w:rsidP="00CE144C">
      <w:r>
        <w:t xml:space="preserve">Sofern </w:t>
      </w:r>
      <w:r w:rsidRPr="00346DEC">
        <w:rPr>
          <w:b/>
        </w:rPr>
        <w:t xml:space="preserve">personalisierte Preise </w:t>
      </w:r>
      <w:r>
        <w:t xml:space="preserve">auf Basis einer </w:t>
      </w:r>
      <w:r w:rsidRPr="00346DEC">
        <w:rPr>
          <w:b/>
        </w:rPr>
        <w:t>automatisierten Entscheidung</w:t>
      </w:r>
      <w:r>
        <w:t xml:space="preserve"> zur Anwendung kommen, ist künftig über diesen Umstand </w:t>
      </w:r>
      <w:r w:rsidRPr="002D67F4">
        <w:rPr>
          <w:b/>
        </w:rPr>
        <w:t>zu informierten (</w:t>
      </w:r>
      <w:r>
        <w:t xml:space="preserve">Art 6 /1 </w:t>
      </w:r>
      <w:proofErr w:type="spellStart"/>
      <w:r>
        <w:t>lit</w:t>
      </w:r>
      <w:proofErr w:type="spellEnd"/>
      <w:r>
        <w:t xml:space="preserve"> </w:t>
      </w:r>
      <w:proofErr w:type="spellStart"/>
      <w:r>
        <w:t>ea</w:t>
      </w:r>
      <w:proofErr w:type="spellEnd"/>
      <w:r>
        <w:t xml:space="preserve"> neu, S 57</w:t>
      </w:r>
      <w:r w:rsidR="00F51BBC">
        <w:t>; siehe auch EG 45</w:t>
      </w:r>
      <w:r>
        <w:t>)</w:t>
      </w:r>
      <w:r w:rsidR="00346DEC">
        <w:t xml:space="preserve">. </w:t>
      </w:r>
    </w:p>
    <w:p w:rsidR="00F51BBC" w:rsidRDefault="00F51BBC" w:rsidP="00CE144C"/>
    <w:p w:rsidR="00F51BBC" w:rsidRDefault="00F51BBC" w:rsidP="00CE144C">
      <w:pPr>
        <w:rPr>
          <w:lang w:eastAsia="en-US"/>
        </w:rPr>
      </w:pPr>
      <w:r>
        <w:t>Die RL gilt auch für Verträge über digitale Inhalte und digitale Inhalte, wenn der Verbraucher nicht mit Geld, sondern „mit seinen Daten“ bezahlt (Art 3/1a, S 54)</w:t>
      </w:r>
      <w:r w:rsidR="001D4B41">
        <w:t>.</w:t>
      </w:r>
    </w:p>
    <w:p w:rsidR="00D91629" w:rsidRDefault="00D91629" w:rsidP="00D91629"/>
    <w:p w:rsidR="00D91629" w:rsidRPr="001D4B41" w:rsidRDefault="00D91629" w:rsidP="001D4B41">
      <w:pPr>
        <w:pStyle w:val="Listenabsatz"/>
        <w:numPr>
          <w:ilvl w:val="0"/>
          <w:numId w:val="17"/>
        </w:numPr>
        <w:spacing w:line="276" w:lineRule="auto"/>
        <w:rPr>
          <w:b/>
        </w:rPr>
      </w:pPr>
      <w:r w:rsidRPr="001D4B41">
        <w:rPr>
          <w:b/>
        </w:rPr>
        <w:t xml:space="preserve">Vertrieb von Waren unterschiedlicher Qualität als identisch </w:t>
      </w:r>
      <w:r>
        <w:t>(Art 6/2c neu UGP-RL)</w:t>
      </w:r>
    </w:p>
    <w:p w:rsidR="00D91629" w:rsidRDefault="00D91629" w:rsidP="00D91629">
      <w:pPr>
        <w:pStyle w:val="Listenabsatz"/>
        <w:spacing w:line="276" w:lineRule="auto"/>
        <w:rPr>
          <w:b/>
        </w:rPr>
      </w:pPr>
    </w:p>
    <w:p w:rsidR="009576BB" w:rsidRDefault="001D4B41" w:rsidP="00D91629">
      <w:pPr>
        <w:spacing w:line="276" w:lineRule="auto"/>
      </w:pPr>
      <w:r>
        <w:t>I</w:t>
      </w:r>
      <w:r w:rsidR="00D91629">
        <w:t>m V</w:t>
      </w:r>
      <w:r>
        <w:t>ergleich mit dem EK-Vorschlag ist die Regelung</w:t>
      </w:r>
      <w:r w:rsidR="00D91629">
        <w:t xml:space="preserve"> dahingehend modifiziert, als klargestellt wird, dass </w:t>
      </w:r>
      <w:r w:rsidR="00D91629" w:rsidRPr="001E57BF">
        <w:rPr>
          <w:b/>
        </w:rPr>
        <w:t>Abweichungen durch legitime und objektive Gründe gerechtferti</w:t>
      </w:r>
      <w:r w:rsidR="002D67F4" w:rsidRPr="001E57BF">
        <w:rPr>
          <w:b/>
        </w:rPr>
        <w:t>gt sein können</w:t>
      </w:r>
      <w:r w:rsidR="00F0478C">
        <w:t xml:space="preserve"> (S 43)</w:t>
      </w:r>
      <w:r w:rsidR="002D67F4">
        <w:t>. Erwägungsgrund 5</w:t>
      </w:r>
      <w:r w:rsidR="00D91629">
        <w:t xml:space="preserve">3 führt einige dieser </w:t>
      </w:r>
      <w:r w:rsidR="00D91629" w:rsidRPr="001E57BF">
        <w:rPr>
          <w:b/>
        </w:rPr>
        <w:t xml:space="preserve">Gründe </w:t>
      </w:r>
      <w:r w:rsidR="002D67F4" w:rsidRPr="001E57BF">
        <w:rPr>
          <w:b/>
        </w:rPr>
        <w:t>b</w:t>
      </w:r>
      <w:r w:rsidR="00D91629" w:rsidRPr="001E57BF">
        <w:rPr>
          <w:b/>
        </w:rPr>
        <w:t>eispielhaft</w:t>
      </w:r>
      <w:r w:rsidR="002D67F4">
        <w:t xml:space="preserve"> an</w:t>
      </w:r>
      <w:r w:rsidR="009576BB">
        <w:t xml:space="preserve"> (</w:t>
      </w:r>
      <w:proofErr w:type="spellStart"/>
      <w:r w:rsidR="002D67F4">
        <w:t>zB</w:t>
      </w:r>
      <w:proofErr w:type="spellEnd"/>
      <w:r w:rsidR="002D67F4">
        <w:t xml:space="preserve"> nationale Vorschriften, die Verfügbarkeit </w:t>
      </w:r>
      <w:r w:rsidR="009576BB">
        <w:t xml:space="preserve">und </w:t>
      </w:r>
      <w:proofErr w:type="spellStart"/>
      <w:r w:rsidR="009576BB">
        <w:t>Saisonalität</w:t>
      </w:r>
      <w:proofErr w:type="spellEnd"/>
      <w:r w:rsidR="001E57BF">
        <w:t xml:space="preserve"> </w:t>
      </w:r>
      <w:r w:rsidR="009576BB">
        <w:t xml:space="preserve">von Grundstoffen, freiwillige Strategien für den Zugang zu gesunden Lebensmitteln). Ein </w:t>
      </w:r>
      <w:r w:rsidR="009576BB" w:rsidRPr="005350DD">
        <w:rPr>
          <w:b/>
        </w:rPr>
        <w:t>per-se-Verbot</w:t>
      </w:r>
      <w:r w:rsidR="009576BB">
        <w:t xml:space="preserve"> durch Aufnahme der Regelung in den Annex der UGP-RL, wie es das EP angestrebt hatte, wird damit somit </w:t>
      </w:r>
      <w:r w:rsidR="009576BB" w:rsidRPr="005350DD">
        <w:rPr>
          <w:b/>
        </w:rPr>
        <w:t>nicht ges</w:t>
      </w:r>
      <w:r w:rsidR="00290BD4" w:rsidRPr="005350DD">
        <w:rPr>
          <w:b/>
        </w:rPr>
        <w:t>chaffen</w:t>
      </w:r>
      <w:r w:rsidR="00290BD4">
        <w:t>. Eine Review-Regelung (Art 6, S 76) sieht aber eine Überprüfung dahingehend vor, ob eine strengere Reglung, einschließlich einer Aufnahme in den Annex erforderlich ist.</w:t>
      </w:r>
    </w:p>
    <w:p w:rsidR="009576BB" w:rsidRDefault="009576BB" w:rsidP="00D91629">
      <w:pPr>
        <w:spacing w:line="276" w:lineRule="auto"/>
      </w:pPr>
    </w:p>
    <w:p w:rsidR="00D91629" w:rsidRDefault="009576BB" w:rsidP="00D91629">
      <w:pPr>
        <w:spacing w:line="276" w:lineRule="auto"/>
      </w:pPr>
      <w:r>
        <w:t xml:space="preserve">Dem Wunsch des EP nach einer entsprechenden </w:t>
      </w:r>
      <w:r w:rsidRPr="001E57BF">
        <w:rPr>
          <w:b/>
        </w:rPr>
        <w:t>Kennzeichnungspflicht</w:t>
      </w:r>
      <w:r>
        <w:t xml:space="preserve"> wurde zwar nicht im verfügenden Teil entsprochen, </w:t>
      </w:r>
      <w:r w:rsidRPr="001E57BF">
        <w:rPr>
          <w:b/>
        </w:rPr>
        <w:t xml:space="preserve">EG 53 </w:t>
      </w:r>
      <w:r>
        <w:t>enthält nun aber entsprechende Passag</w:t>
      </w:r>
      <w:r w:rsidR="00290BD4">
        <w:t>en, die in diese Richtung weis</w:t>
      </w:r>
      <w:r w:rsidR="001E57BF">
        <w:t>en</w:t>
      </w:r>
      <w:r>
        <w:t xml:space="preserve">. </w:t>
      </w:r>
      <w:r w:rsidR="00D91629">
        <w:t xml:space="preserve"> </w:t>
      </w:r>
    </w:p>
    <w:p w:rsidR="001E57BF" w:rsidRDefault="001E57BF" w:rsidP="00D91629">
      <w:pPr>
        <w:spacing w:line="276" w:lineRule="auto"/>
      </w:pPr>
    </w:p>
    <w:p w:rsidR="00D91629" w:rsidRDefault="00D91629" w:rsidP="00D91629">
      <w:pPr>
        <w:spacing w:line="276" w:lineRule="auto"/>
      </w:pPr>
      <w:r w:rsidRPr="001E57BF">
        <w:rPr>
          <w:b/>
        </w:rPr>
        <w:t>Dienstleistungen</w:t>
      </w:r>
      <w:r>
        <w:t xml:space="preserve"> sind von der Bestimmung</w:t>
      </w:r>
      <w:r w:rsidR="002D67F4">
        <w:t xml:space="preserve"> – im Gegensatz zum EK-Vorschlag</w:t>
      </w:r>
      <w:r w:rsidR="001E57BF">
        <w:t xml:space="preserve"> -</w:t>
      </w:r>
      <w:r>
        <w:t xml:space="preserve"> </w:t>
      </w:r>
      <w:r w:rsidRPr="001E57BF">
        <w:rPr>
          <w:b/>
        </w:rPr>
        <w:t>nicht erfasst</w:t>
      </w:r>
      <w:r>
        <w:t>, da nunmehr auf „</w:t>
      </w:r>
      <w:proofErr w:type="spellStart"/>
      <w:r>
        <w:t>goods</w:t>
      </w:r>
      <w:proofErr w:type="spellEnd"/>
      <w:r>
        <w:t xml:space="preserve">“ </w:t>
      </w:r>
      <w:r w:rsidR="001E57BF">
        <w:t>und nicht „</w:t>
      </w:r>
      <w:proofErr w:type="spellStart"/>
      <w:r w:rsidR="001E57BF">
        <w:t>products</w:t>
      </w:r>
      <w:proofErr w:type="spellEnd"/>
      <w:r w:rsidR="001E57BF">
        <w:t xml:space="preserve">“ </w:t>
      </w:r>
      <w:r>
        <w:t>abgestellt wird</w:t>
      </w:r>
      <w:r w:rsidR="001E57BF">
        <w:t>.</w:t>
      </w:r>
      <w:r>
        <w:t xml:space="preserve"> </w:t>
      </w:r>
    </w:p>
    <w:p w:rsidR="001B72A7" w:rsidRDefault="001B72A7" w:rsidP="00D91629">
      <w:pPr>
        <w:spacing w:line="276" w:lineRule="auto"/>
      </w:pPr>
    </w:p>
    <w:p w:rsidR="001B72A7" w:rsidRPr="0049165A" w:rsidRDefault="001B72A7" w:rsidP="001B72A7">
      <w:pPr>
        <w:pStyle w:val="Listenabsatz"/>
        <w:numPr>
          <w:ilvl w:val="0"/>
          <w:numId w:val="17"/>
        </w:numPr>
        <w:spacing w:line="276" w:lineRule="auto"/>
        <w:rPr>
          <w:b/>
        </w:rPr>
      </w:pPr>
      <w:r w:rsidRPr="0049165A">
        <w:rPr>
          <w:b/>
        </w:rPr>
        <w:t xml:space="preserve">Weitere Fälle von als „wesentlich“ geltenden Informationen in Art 7 UGP-RL </w:t>
      </w:r>
      <w:r w:rsidRPr="001E57BF">
        <w:t xml:space="preserve">(S 43f) </w:t>
      </w:r>
    </w:p>
    <w:p w:rsidR="001B72A7" w:rsidRDefault="001B72A7" w:rsidP="001B72A7">
      <w:pPr>
        <w:spacing w:line="276" w:lineRule="auto"/>
      </w:pPr>
    </w:p>
    <w:p w:rsidR="001B72A7" w:rsidRDefault="001B72A7" w:rsidP="001B72A7">
      <w:r>
        <w:t>Vorgaben</w:t>
      </w:r>
      <w:r w:rsidR="002A53A6">
        <w:t xml:space="preserve"> </w:t>
      </w:r>
      <w:proofErr w:type="spellStart"/>
      <w:r>
        <w:t>bzw</w:t>
      </w:r>
      <w:proofErr w:type="spellEnd"/>
      <w:r>
        <w:t xml:space="preserve"> Informationspflichten</w:t>
      </w:r>
      <w:r w:rsidR="0049165A">
        <w:t xml:space="preserve"> </w:t>
      </w:r>
      <w:r w:rsidR="0049165A" w:rsidRPr="0049165A">
        <w:rPr>
          <w:b/>
        </w:rPr>
        <w:t>betreffend Rankings</w:t>
      </w:r>
      <w:r w:rsidR="001E57BF">
        <w:t xml:space="preserve"> von</w:t>
      </w:r>
      <w:r w:rsidR="0049165A">
        <w:t xml:space="preserve"> Suchergebnisse</w:t>
      </w:r>
      <w:r w:rsidR="001E57BF">
        <w:t>n</w:t>
      </w:r>
      <w:r w:rsidR="0049165A">
        <w:t xml:space="preserve"> für Unternehmen, die es Verbrauchern ermöglichen, </w:t>
      </w:r>
      <w:r w:rsidR="001E57BF">
        <w:t xml:space="preserve">von Dritten angebotene </w:t>
      </w:r>
      <w:r w:rsidR="0049165A">
        <w:t>Waren und Dienstleistungen zu suchen</w:t>
      </w:r>
      <w:r w:rsidR="003B4028">
        <w:t xml:space="preserve"> (</w:t>
      </w:r>
      <w:proofErr w:type="spellStart"/>
      <w:r w:rsidR="003B4028">
        <w:t>zB</w:t>
      </w:r>
      <w:proofErr w:type="spellEnd"/>
      <w:r w:rsidR="003B4028">
        <w:t xml:space="preserve"> neben Marktplätzen auch Preisvergleichsportale)</w:t>
      </w:r>
      <w:r w:rsidR="001E57BF">
        <w:t>,</w:t>
      </w:r>
      <w:r w:rsidR="0049165A">
        <w:t xml:space="preserve"> werden </w:t>
      </w:r>
      <w:r>
        <w:t xml:space="preserve">auch in der </w:t>
      </w:r>
      <w:r w:rsidRPr="001E57BF">
        <w:rPr>
          <w:b/>
        </w:rPr>
        <w:t>UGP-RL</w:t>
      </w:r>
      <w:r>
        <w:t xml:space="preserve"> verankert, indem allgemeine Informationen über die </w:t>
      </w:r>
      <w:r w:rsidRPr="0049165A">
        <w:rPr>
          <w:b/>
        </w:rPr>
        <w:t>Hautparameter und deren relatives Gewicht</w:t>
      </w:r>
      <w:r>
        <w:t xml:space="preserve"> als „wesentlich“ gelten (Irreführung durch Unterlassung). Auch wird vorgegeben, dass diese Informationen direkt bei den aufgelisteten Sucherergebnissen abrufbar </w:t>
      </w:r>
      <w:proofErr w:type="spellStart"/>
      <w:r>
        <w:t>bzw</w:t>
      </w:r>
      <w:proofErr w:type="spellEnd"/>
      <w:r>
        <w:t xml:space="preserve"> zugänglich sein müssen (Art 7/4a neu UGP-RL, S 44). Hinzuweisen ist auf die Klarstellung in EG 23, dass keine detaillierten Informationen zum Ranking-Mechanismus (auch </w:t>
      </w:r>
      <w:r w:rsidRPr="001E57BF">
        <w:rPr>
          <w:b/>
        </w:rPr>
        <w:t>nicht Algorithmen</w:t>
      </w:r>
      <w:r>
        <w:t xml:space="preserve">) </w:t>
      </w:r>
      <w:r w:rsidRPr="005350DD">
        <w:rPr>
          <w:b/>
        </w:rPr>
        <w:t xml:space="preserve">offengelegt werden </w:t>
      </w:r>
      <w:r>
        <w:t xml:space="preserve">müssen. </w:t>
      </w:r>
    </w:p>
    <w:p w:rsidR="0049165A" w:rsidRDefault="0049165A" w:rsidP="001B72A7"/>
    <w:p w:rsidR="0049165A" w:rsidRDefault="0049165A" w:rsidP="0049165A">
      <w:r>
        <w:t xml:space="preserve">Wenn Unternehmer Zugang zu </w:t>
      </w:r>
      <w:r w:rsidRPr="003B4028">
        <w:rPr>
          <w:b/>
        </w:rPr>
        <w:t xml:space="preserve">Verbraucherbewertungen </w:t>
      </w:r>
      <w:r>
        <w:t xml:space="preserve">ermöglichen, ist auch darüber zu informieren, </w:t>
      </w:r>
      <w:r w:rsidRPr="0049165A">
        <w:rPr>
          <w:b/>
        </w:rPr>
        <w:t>ob und wenn ja wie</w:t>
      </w:r>
      <w:r>
        <w:t xml:space="preserve"> der Unternehmer </w:t>
      </w:r>
      <w:r w:rsidRPr="00CD0FBC">
        <w:rPr>
          <w:b/>
        </w:rPr>
        <w:t>sicherstellt</w:t>
      </w:r>
      <w:r>
        <w:t xml:space="preserve">, dass die veröffentlichten </w:t>
      </w:r>
      <w:r w:rsidRPr="00CD0FBC">
        <w:rPr>
          <w:b/>
        </w:rPr>
        <w:t>Bewertungen von Konsumenten stammen</w:t>
      </w:r>
      <w:r>
        <w:t xml:space="preserve">, die das bewertete Produkt oder die Dienstleistung (tatsächlich) </w:t>
      </w:r>
      <w:r w:rsidRPr="00CD0FBC">
        <w:rPr>
          <w:b/>
        </w:rPr>
        <w:t>gekauft oder verwendet haben</w:t>
      </w:r>
      <w:r>
        <w:t xml:space="preserve"> (Art 7/6 neu UGP-RL, S 44). </w:t>
      </w:r>
    </w:p>
    <w:p w:rsidR="0049165A" w:rsidRDefault="0049165A" w:rsidP="001B72A7"/>
    <w:p w:rsidR="001B72A7" w:rsidRDefault="003B4028" w:rsidP="001B72A7">
      <w:pPr>
        <w:spacing w:line="276" w:lineRule="auto"/>
      </w:pPr>
      <w:r>
        <w:t xml:space="preserve">Die Information über den Status (Unternehmer/Nichtunternehmer) des Verkäufers auf </w:t>
      </w:r>
      <w:r w:rsidR="002A53A6">
        <w:t>O</w:t>
      </w:r>
      <w:r>
        <w:t xml:space="preserve">nline-Marktplätzen gilt ebenfalls als wesentlich (Art 7/4 </w:t>
      </w:r>
      <w:proofErr w:type="spellStart"/>
      <w:r>
        <w:t>lit</w:t>
      </w:r>
      <w:proofErr w:type="spellEnd"/>
      <w:r>
        <w:t xml:space="preserve"> f neu UGP-RL).</w:t>
      </w:r>
    </w:p>
    <w:p w:rsidR="001B72A7" w:rsidRDefault="001B72A7" w:rsidP="001B72A7">
      <w:pPr>
        <w:spacing w:line="276" w:lineRule="auto"/>
      </w:pPr>
    </w:p>
    <w:p w:rsidR="00290BD4" w:rsidRPr="007D4473" w:rsidRDefault="00290BD4" w:rsidP="00D91629">
      <w:pPr>
        <w:spacing w:line="276" w:lineRule="auto"/>
        <w:rPr>
          <w:b/>
        </w:rPr>
      </w:pPr>
    </w:p>
    <w:p w:rsidR="00290BD4" w:rsidRPr="007D4473" w:rsidRDefault="00F07DFB" w:rsidP="00F07DFB">
      <w:pPr>
        <w:pStyle w:val="Listenabsatz"/>
        <w:numPr>
          <w:ilvl w:val="0"/>
          <w:numId w:val="17"/>
        </w:numPr>
        <w:spacing w:line="276" w:lineRule="auto"/>
        <w:rPr>
          <w:b/>
        </w:rPr>
      </w:pPr>
      <w:r w:rsidRPr="007D4473">
        <w:rPr>
          <w:b/>
        </w:rPr>
        <w:t xml:space="preserve">Erweiterung der per-se-Verbote im Annex der UGP-RL </w:t>
      </w:r>
      <w:r w:rsidR="00ED2A31" w:rsidRPr="007D4473">
        <w:rPr>
          <w:b/>
        </w:rPr>
        <w:t>(S 50)</w:t>
      </w:r>
    </w:p>
    <w:p w:rsidR="00F07DFB" w:rsidRDefault="00F07DFB" w:rsidP="00F07DFB">
      <w:pPr>
        <w:pStyle w:val="Listenabsatz"/>
      </w:pPr>
    </w:p>
    <w:p w:rsidR="00F07DFB" w:rsidRDefault="003D06D7" w:rsidP="00ED2A31">
      <w:pPr>
        <w:pStyle w:val="Listenabsatz"/>
        <w:numPr>
          <w:ilvl w:val="0"/>
          <w:numId w:val="16"/>
        </w:numPr>
        <w:spacing w:line="276" w:lineRule="auto"/>
      </w:pPr>
      <w:r>
        <w:t xml:space="preserve">Verbot der </w:t>
      </w:r>
      <w:r w:rsidR="00ED2A31">
        <w:t>Angabe von Suchresultaten</w:t>
      </w:r>
      <w:r w:rsidR="00F07DFB">
        <w:t xml:space="preserve"> </w:t>
      </w:r>
      <w:r w:rsidR="00ED2A31">
        <w:t xml:space="preserve">als Ergebnis einer </w:t>
      </w:r>
      <w:r w:rsidR="002A53A6">
        <w:t>O</w:t>
      </w:r>
      <w:r w:rsidR="00ED2A31">
        <w:t xml:space="preserve">nline-Suche ohne deutlich zu machen, dass es sich um eine </w:t>
      </w:r>
      <w:r w:rsidR="00ED2A31" w:rsidRPr="003D06D7">
        <w:rPr>
          <w:b/>
        </w:rPr>
        <w:t>bezahlte Werbung handelt oder Zahlungen geleistet wurden, um ein höheres Ranking</w:t>
      </w:r>
      <w:r w:rsidR="00ED2A31">
        <w:t xml:space="preserve"> zu erreichen (</w:t>
      </w:r>
      <w:proofErr w:type="spellStart"/>
      <w:r w:rsidR="00ED2A31">
        <w:t>Zif</w:t>
      </w:r>
      <w:proofErr w:type="spellEnd"/>
      <w:r w:rsidR="00ED2A31">
        <w:t xml:space="preserve"> 11a </w:t>
      </w:r>
      <w:proofErr w:type="gramStart"/>
      <w:r w:rsidR="00ED2A31">
        <w:t>neu )</w:t>
      </w:r>
      <w:proofErr w:type="gramEnd"/>
    </w:p>
    <w:p w:rsidR="003D06D7" w:rsidRDefault="003D06D7" w:rsidP="003D06D7">
      <w:pPr>
        <w:pStyle w:val="Listenabsatz"/>
        <w:spacing w:line="276" w:lineRule="auto"/>
      </w:pPr>
    </w:p>
    <w:p w:rsidR="00ED2A31" w:rsidRDefault="003D06D7" w:rsidP="00ED2A31">
      <w:pPr>
        <w:pStyle w:val="Listenabsatz"/>
        <w:numPr>
          <w:ilvl w:val="0"/>
          <w:numId w:val="16"/>
        </w:numPr>
        <w:spacing w:line="276" w:lineRule="auto"/>
      </w:pPr>
      <w:r w:rsidRPr="003D06D7">
        <w:t>Verbot des</w:t>
      </w:r>
      <w:r>
        <w:rPr>
          <w:b/>
        </w:rPr>
        <w:t xml:space="preserve"> </w:t>
      </w:r>
      <w:r w:rsidR="00ED2A31" w:rsidRPr="003D06D7">
        <w:rPr>
          <w:b/>
        </w:rPr>
        <w:t>Wiederverkauf</w:t>
      </w:r>
      <w:r>
        <w:rPr>
          <w:b/>
        </w:rPr>
        <w:t>s</w:t>
      </w:r>
      <w:r w:rsidR="00ED2A31" w:rsidRPr="003D06D7">
        <w:rPr>
          <w:b/>
        </w:rPr>
        <w:t xml:space="preserve"> von Event-Tickets</w:t>
      </w:r>
      <w:r w:rsidR="00ED2A31">
        <w:t xml:space="preserve">, wenn der Unternehmer diese unter </w:t>
      </w:r>
      <w:r w:rsidR="00ED2A31" w:rsidRPr="003D06D7">
        <w:rPr>
          <w:b/>
        </w:rPr>
        <w:t xml:space="preserve">Verwendung automatisierter Verfahren zur Umgehung von Beschränkungen </w:t>
      </w:r>
      <w:r>
        <w:t>hinsichtlich der Anzahl von Tickets, die eine Person kaufen kann oder anderer anwendbarer Vorgaben</w:t>
      </w:r>
      <w:r w:rsidR="00ED2A31">
        <w:t xml:space="preserve"> </w:t>
      </w:r>
      <w:r>
        <w:t>für den Ticket-Kauf, erworben hat (siehe dazu auch EG 50, S 33).</w:t>
      </w:r>
    </w:p>
    <w:p w:rsidR="003D06D7" w:rsidRDefault="003D06D7" w:rsidP="003D06D7">
      <w:pPr>
        <w:pStyle w:val="Listenabsatz"/>
      </w:pPr>
    </w:p>
    <w:p w:rsidR="00290BD4" w:rsidRDefault="003D06D7" w:rsidP="003D06D7">
      <w:pPr>
        <w:pStyle w:val="Listenabsatz"/>
        <w:numPr>
          <w:ilvl w:val="0"/>
          <w:numId w:val="16"/>
        </w:numPr>
        <w:spacing w:line="276" w:lineRule="auto"/>
      </w:pPr>
      <w:r w:rsidRPr="00CD0FBC">
        <w:rPr>
          <w:b/>
        </w:rPr>
        <w:t xml:space="preserve">Verbot </w:t>
      </w:r>
      <w:r w:rsidR="009E0550" w:rsidRPr="00CD0FBC">
        <w:rPr>
          <w:b/>
        </w:rPr>
        <w:t>der Angabe</w:t>
      </w:r>
      <w:r w:rsidR="009E0550">
        <w:t>, dass Waren</w:t>
      </w:r>
      <w:r w:rsidR="00830B81">
        <w:t>-</w:t>
      </w:r>
      <w:r w:rsidR="009E0550">
        <w:t xml:space="preserve"> </w:t>
      </w:r>
      <w:proofErr w:type="spellStart"/>
      <w:r w:rsidR="009E0550">
        <w:t>bzw</w:t>
      </w:r>
      <w:proofErr w:type="spellEnd"/>
      <w:r w:rsidR="009E0550">
        <w:t xml:space="preserve"> DL- </w:t>
      </w:r>
      <w:r w:rsidR="009E0550" w:rsidRPr="00CD0FBC">
        <w:rPr>
          <w:b/>
        </w:rPr>
        <w:t>Bewertungen von Verbrauchern abgegeben</w:t>
      </w:r>
      <w:r w:rsidR="009E0550">
        <w:t xml:space="preserve"> wurden, die diese tatsächlich verwendet oder gekauft haben, </w:t>
      </w:r>
      <w:r w:rsidR="009E0550" w:rsidRPr="00CD0FBC">
        <w:rPr>
          <w:b/>
        </w:rPr>
        <w:t>ohne dass vernünftige und verhältnismäßige Maßnahmen ergriffen wurden</w:t>
      </w:r>
      <w:r w:rsidR="009E0550">
        <w:t>, dass die Bewertungen tatsächlich von solchen Verbrauchern stammen (siehe dazu auch EG 47, S 32).</w:t>
      </w:r>
    </w:p>
    <w:p w:rsidR="009E0550" w:rsidRDefault="009E0550" w:rsidP="009E0550">
      <w:pPr>
        <w:pStyle w:val="Listenabsatz"/>
      </w:pPr>
    </w:p>
    <w:p w:rsidR="00290BD4" w:rsidRDefault="009E0550" w:rsidP="00635CFB">
      <w:pPr>
        <w:pStyle w:val="Listenabsatz"/>
        <w:numPr>
          <w:ilvl w:val="0"/>
          <w:numId w:val="16"/>
        </w:numPr>
        <w:spacing w:line="276" w:lineRule="auto"/>
      </w:pPr>
      <w:r w:rsidRPr="00CD0FBC">
        <w:rPr>
          <w:b/>
        </w:rPr>
        <w:t xml:space="preserve">Verbot </w:t>
      </w:r>
      <w:r>
        <w:t>der Abgabe</w:t>
      </w:r>
      <w:r w:rsidR="00830B81">
        <w:t xml:space="preserve"> von </w:t>
      </w:r>
      <w:r w:rsidR="00830B81" w:rsidRPr="00CD0FBC">
        <w:rPr>
          <w:b/>
        </w:rPr>
        <w:t>falschen Bewertungen</w:t>
      </w:r>
      <w:r w:rsidR="00CD0FBC">
        <w:t xml:space="preserve"> </w:t>
      </w:r>
      <w:proofErr w:type="spellStart"/>
      <w:r w:rsidR="00CD0FBC">
        <w:t>bzw</w:t>
      </w:r>
      <w:proofErr w:type="spellEnd"/>
      <w:r w:rsidR="007D4473">
        <w:t xml:space="preserve"> befürwortenden E</w:t>
      </w:r>
      <w:r w:rsidR="00830B81">
        <w:t>rklärungen (</w:t>
      </w:r>
      <w:proofErr w:type="spellStart"/>
      <w:r w:rsidR="00830B81">
        <w:t>zB</w:t>
      </w:r>
      <w:proofErr w:type="spellEnd"/>
      <w:r w:rsidR="00830B81">
        <w:t xml:space="preserve"> „</w:t>
      </w:r>
      <w:proofErr w:type="spellStart"/>
      <w:r w:rsidR="00830B81">
        <w:t>likes</w:t>
      </w:r>
      <w:proofErr w:type="spellEnd"/>
      <w:r w:rsidR="00830B81">
        <w:t xml:space="preserve">“) </w:t>
      </w:r>
      <w:r>
        <w:t xml:space="preserve">oder </w:t>
      </w:r>
      <w:r w:rsidR="007D4473">
        <w:t>Verfälschung</w:t>
      </w:r>
      <w:r w:rsidR="00830B81">
        <w:t xml:space="preserve"> von Verbraucherb</w:t>
      </w:r>
      <w:r w:rsidR="007D4473">
        <w:t>e</w:t>
      </w:r>
      <w:r w:rsidR="00830B81">
        <w:t xml:space="preserve">wertungen </w:t>
      </w:r>
      <w:r w:rsidR="007D4473">
        <w:t>zur Bewerbung der Waren/DL einschließlich des Verbots, Dritte dafür zu beauftragen (siehe EG 49, S 33).</w:t>
      </w:r>
    </w:p>
    <w:p w:rsidR="007D4473" w:rsidRDefault="007D4473" w:rsidP="007D4473">
      <w:pPr>
        <w:pStyle w:val="Listenabsatz"/>
      </w:pPr>
    </w:p>
    <w:p w:rsidR="007D4473" w:rsidRDefault="007D4473" w:rsidP="007D4473">
      <w:pPr>
        <w:spacing w:line="276" w:lineRule="auto"/>
      </w:pPr>
    </w:p>
    <w:p w:rsidR="007D4473" w:rsidRDefault="007D4473" w:rsidP="007D4473">
      <w:pPr>
        <w:pStyle w:val="Listenabsatz"/>
        <w:numPr>
          <w:ilvl w:val="0"/>
          <w:numId w:val="17"/>
        </w:numPr>
        <w:spacing w:line="276" w:lineRule="auto"/>
      </w:pPr>
      <w:r w:rsidRPr="00826F39">
        <w:rPr>
          <w:b/>
        </w:rPr>
        <w:t>Änderung der Preisangaben-RL betreffend Preisherabsetzungen</w:t>
      </w:r>
      <w:r>
        <w:t xml:space="preserve"> (Art 6a neu RL 98/6</w:t>
      </w:r>
      <w:r w:rsidR="00A72128">
        <w:t>, S 72</w:t>
      </w:r>
      <w:r>
        <w:t>)</w:t>
      </w:r>
    </w:p>
    <w:p w:rsidR="007D4473" w:rsidRDefault="007D4473" w:rsidP="007D4473">
      <w:pPr>
        <w:spacing w:line="276" w:lineRule="auto"/>
      </w:pPr>
    </w:p>
    <w:p w:rsidR="00A72128" w:rsidRDefault="007D4473" w:rsidP="007D4473">
      <w:pPr>
        <w:spacing w:line="276" w:lineRule="auto"/>
      </w:pPr>
      <w:r>
        <w:t>Im ursprünglichen EK-Vorschlag überhaupt nicht vorgesehen, wurden</w:t>
      </w:r>
      <w:r w:rsidR="00A72128">
        <w:t xml:space="preserve"> nun - im Interesse der raschen Einigung mit dem EP </w:t>
      </w:r>
      <w:r w:rsidR="00CD0FBC">
        <w:t>–</w:t>
      </w:r>
      <w:r w:rsidR="00A72128">
        <w:t xml:space="preserve"> </w:t>
      </w:r>
      <w:r w:rsidR="00CD0FBC">
        <w:t>(</w:t>
      </w:r>
      <w:proofErr w:type="spellStart"/>
      <w:r w:rsidR="00CD0FBC">
        <w:t>uE</w:t>
      </w:r>
      <w:proofErr w:type="spellEnd"/>
      <w:r w:rsidR="003556E7">
        <w:t xml:space="preserve"> jedenfalls</w:t>
      </w:r>
      <w:r w:rsidR="00CD0FBC">
        <w:t xml:space="preserve"> nicht leicht verständliche) </w:t>
      </w:r>
      <w:r>
        <w:t xml:space="preserve">Regelungen in der Preisangaben-RL zu Preisherabsetzungen aufgenommen. </w:t>
      </w:r>
    </w:p>
    <w:p w:rsidR="00A72128" w:rsidRDefault="00A72128" w:rsidP="007D4473">
      <w:pPr>
        <w:spacing w:line="276" w:lineRule="auto"/>
      </w:pPr>
    </w:p>
    <w:p w:rsidR="00A72128" w:rsidRPr="003556E7" w:rsidRDefault="007D4473" w:rsidP="007D4473">
      <w:pPr>
        <w:spacing w:line="276" w:lineRule="auto"/>
        <w:rPr>
          <w:b/>
        </w:rPr>
      </w:pPr>
      <w:r>
        <w:t>Jede Ankündigung einer Preisherabsetzung</w:t>
      </w:r>
      <w:r w:rsidR="00A72128">
        <w:t xml:space="preserve"> hat den Ausgangspreis (</w:t>
      </w:r>
      <w:proofErr w:type="spellStart"/>
      <w:r w:rsidR="00A72128">
        <w:t>bzw</w:t>
      </w:r>
      <w:proofErr w:type="spellEnd"/>
      <w:r w:rsidR="00A72128">
        <w:t xml:space="preserve"> früheren Preis), der vor der Preisherabsetzung galt, anzugeben. Unter „</w:t>
      </w:r>
      <w:r w:rsidR="00A72128" w:rsidRPr="003556E7">
        <w:rPr>
          <w:b/>
        </w:rPr>
        <w:t>früherem Preis</w:t>
      </w:r>
      <w:r w:rsidR="00A72128">
        <w:t xml:space="preserve">“ wird der tiefste Preis verstanden, der vom Unternehmer während eines </w:t>
      </w:r>
      <w:r w:rsidR="00A72128" w:rsidRPr="003556E7">
        <w:rPr>
          <w:b/>
        </w:rPr>
        <w:t>Zeitraums angewendet</w:t>
      </w:r>
      <w:r w:rsidR="00A72128">
        <w:t xml:space="preserve"> wurde, der </w:t>
      </w:r>
      <w:r w:rsidR="00A72128" w:rsidRPr="003556E7">
        <w:rPr>
          <w:b/>
        </w:rPr>
        <w:t>nicht kürzer als ein Monat vor der Preisreduktion sein darf.</w:t>
      </w:r>
    </w:p>
    <w:p w:rsidR="00CD0FBC" w:rsidRDefault="00CD0FBC" w:rsidP="007D4473">
      <w:pPr>
        <w:spacing w:line="276" w:lineRule="auto"/>
      </w:pPr>
    </w:p>
    <w:p w:rsidR="00826F39" w:rsidRDefault="00A72128" w:rsidP="007D4473">
      <w:pPr>
        <w:spacing w:line="276" w:lineRule="auto"/>
      </w:pPr>
      <w:r>
        <w:t>Die MS erhalten die Option</w:t>
      </w:r>
      <w:r w:rsidR="002A53A6">
        <w:t>,</w:t>
      </w:r>
      <w:r>
        <w:t xml:space="preserve"> für Waren, die rasch verderben können oder deren Verfallsdatum schnell überschritten wird, </w:t>
      </w:r>
      <w:r w:rsidR="00826F39">
        <w:t>and</w:t>
      </w:r>
      <w:r w:rsidR="00CD0FBC">
        <w:t xml:space="preserve">ere Regelungen </w:t>
      </w:r>
      <w:r w:rsidR="002A53A6">
        <w:t xml:space="preserve">zu </w:t>
      </w:r>
      <w:r w:rsidR="00CD0FBC">
        <w:t>schaffen</w:t>
      </w:r>
      <w:r w:rsidR="00826F39">
        <w:t>.</w:t>
      </w:r>
      <w:r w:rsidR="00CD0FBC">
        <w:t xml:space="preserve"> </w:t>
      </w:r>
      <w:r w:rsidR="00826F39">
        <w:t xml:space="preserve">Wenn die Waren (gemeint wohl „erst“) kürzer als 30 Tage auf dem Markt sind, können die MS auch andere Fristen als die 1 Monatsfrist vorsehen. </w:t>
      </w:r>
      <w:proofErr w:type="spellStart"/>
      <w:r w:rsidR="00826F39">
        <w:t>Weiters</w:t>
      </w:r>
      <w:proofErr w:type="spellEnd"/>
      <w:r w:rsidR="00826F39">
        <w:t xml:space="preserve"> können die MS im Falle aufeinanderfolgender Preisreduktionen </w:t>
      </w:r>
      <w:r w:rsidR="00826F39">
        <w:lastRenderedPageBreak/>
        <w:t xml:space="preserve">vorsehen (gemeint wohl </w:t>
      </w:r>
      <w:proofErr w:type="spellStart"/>
      <w:r w:rsidR="00826F39">
        <w:t>zB</w:t>
      </w:r>
      <w:proofErr w:type="spellEnd"/>
      <w:r w:rsidR="00826F39">
        <w:t xml:space="preserve"> nochmalige Herabsetzung der schon preisreduzierten Waren), dass der „frühere Preis“ jener ist, der vor der 1. Preisreduktion gegolten hat.</w:t>
      </w:r>
    </w:p>
    <w:p w:rsidR="00724A80" w:rsidRDefault="00724A80" w:rsidP="007D4473">
      <w:pPr>
        <w:spacing w:line="276" w:lineRule="auto"/>
      </w:pPr>
    </w:p>
    <w:p w:rsidR="00CD0FBC" w:rsidRDefault="00CD0FBC" w:rsidP="002A53A6">
      <w:pPr>
        <w:rPr>
          <w:color w:val="000000"/>
          <w:szCs w:val="22"/>
          <w:lang w:val="de-DE"/>
        </w:rPr>
      </w:pPr>
      <w:r w:rsidRPr="00CD0FBC">
        <w:rPr>
          <w:color w:val="000000"/>
          <w:szCs w:val="22"/>
          <w:lang w:val="de-DE"/>
        </w:rPr>
        <w:t xml:space="preserve">Der Text wird nun von den Rechts- und Sprachsachverständigen überarbeitet und </w:t>
      </w:r>
      <w:r>
        <w:rPr>
          <w:bCs/>
          <w:color w:val="000000"/>
          <w:szCs w:val="22"/>
          <w:lang w:val="de-DE"/>
        </w:rPr>
        <w:t>wird</w:t>
      </w:r>
      <w:r w:rsidRPr="00CD0FBC">
        <w:rPr>
          <w:bCs/>
          <w:color w:val="000000"/>
          <w:szCs w:val="22"/>
          <w:lang w:val="de-DE"/>
        </w:rPr>
        <w:t xml:space="preserve"> noch formal vom Rat und dem Plenum des Europäischen Parlaments angenommen werden.</w:t>
      </w:r>
      <w:r w:rsidRPr="00CD0FBC">
        <w:rPr>
          <w:color w:val="000000"/>
          <w:szCs w:val="22"/>
          <w:lang w:val="de-DE"/>
        </w:rPr>
        <w:t xml:space="preserve"> </w:t>
      </w:r>
    </w:p>
    <w:p w:rsidR="00CD0FBC" w:rsidRDefault="00CD0FBC" w:rsidP="00CD0FBC">
      <w:pPr>
        <w:jc w:val="both"/>
        <w:rPr>
          <w:color w:val="000000"/>
          <w:szCs w:val="22"/>
          <w:lang w:val="de-DE"/>
        </w:rPr>
      </w:pPr>
    </w:p>
    <w:p w:rsidR="00CD0FBC" w:rsidRPr="00CD0FBC" w:rsidRDefault="00CD0FBC" w:rsidP="002A53A6">
      <w:pPr>
        <w:spacing w:line="276" w:lineRule="auto"/>
        <w:rPr>
          <w:bCs/>
          <w:color w:val="000000"/>
          <w:szCs w:val="22"/>
          <w:lang w:val="de-DE" w:eastAsia="en-US"/>
        </w:rPr>
      </w:pPr>
      <w:r w:rsidRPr="00CD0FBC">
        <w:rPr>
          <w:color w:val="000000"/>
          <w:szCs w:val="22"/>
          <w:lang w:val="de-DE"/>
        </w:rPr>
        <w:t xml:space="preserve">Die Mitgliedstaaten müssen die </w:t>
      </w:r>
      <w:r w:rsidRPr="00CD0FBC">
        <w:rPr>
          <w:bCs/>
          <w:color w:val="000000"/>
          <w:szCs w:val="22"/>
          <w:lang w:val="de-DE"/>
        </w:rPr>
        <w:t>Richtlinie innerhalb von 24 </w:t>
      </w:r>
      <w:r>
        <w:rPr>
          <w:bCs/>
          <w:color w:val="000000"/>
          <w:szCs w:val="22"/>
          <w:lang w:val="de-DE"/>
        </w:rPr>
        <w:t>Monaten nach ihrer Annahme</w:t>
      </w:r>
      <w:r w:rsidRPr="00CD0FBC">
        <w:rPr>
          <w:bCs/>
          <w:color w:val="000000"/>
          <w:szCs w:val="22"/>
          <w:lang w:val="de-DE"/>
        </w:rPr>
        <w:t xml:space="preserve"> in nationales Recht umsetzen. Nach 6 weiteren Monaten sollen die Bestimmungen dann zur Anwendung kommen.</w:t>
      </w:r>
    </w:p>
    <w:p w:rsidR="00CD0FBC" w:rsidRPr="00CD0FBC" w:rsidRDefault="00CD0FBC" w:rsidP="00CD0FBC">
      <w:pPr>
        <w:spacing w:line="276" w:lineRule="auto"/>
        <w:jc w:val="both"/>
        <w:rPr>
          <w:color w:val="000000"/>
          <w:szCs w:val="22"/>
          <w:lang w:val="de-DE"/>
        </w:rPr>
      </w:pPr>
    </w:p>
    <w:p w:rsidR="00106030" w:rsidRDefault="00106030" w:rsidP="00D91629"/>
    <w:p w:rsidR="00B735A3" w:rsidRDefault="00B735A3" w:rsidP="00B735A3">
      <w:r>
        <w:t>Mit freundlichen Grüßen</w:t>
      </w:r>
    </w:p>
    <w:p w:rsidR="00B735A3" w:rsidRDefault="00B735A3" w:rsidP="00B735A3"/>
    <w:p w:rsidR="00B735A3" w:rsidRDefault="00B735A3" w:rsidP="00B735A3"/>
    <w:p w:rsidR="00B735A3" w:rsidRDefault="00B735A3" w:rsidP="00B735A3"/>
    <w:p w:rsidR="00B735A3" w:rsidRDefault="00B735A3" w:rsidP="00B735A3">
      <w:r>
        <w:t xml:space="preserve">Dr. </w:t>
      </w:r>
      <w:r w:rsidR="002453C6">
        <w:t>Claudia Rosenmayr-Klemenz</w:t>
      </w:r>
      <w:r w:rsidR="00D91629">
        <w:t xml:space="preserve"> </w:t>
      </w:r>
    </w:p>
    <w:p w:rsidR="00B735A3" w:rsidRDefault="00B735A3" w:rsidP="00B735A3">
      <w:r>
        <w:t>Abteilungsleiterin</w:t>
      </w:r>
      <w:r w:rsidR="002453C6">
        <w:t>-Stv.</w:t>
      </w:r>
    </w:p>
    <w:p w:rsidR="00DB61BC" w:rsidRDefault="00DB61BC" w:rsidP="006209DA"/>
    <w:p w:rsidR="00B735A3" w:rsidRDefault="00B735A3" w:rsidP="006209DA"/>
    <w:p w:rsidR="00DB61BC" w:rsidRDefault="00DB61BC" w:rsidP="006209DA">
      <w:r w:rsidRPr="00DB61BC">
        <w:rPr>
          <w:b/>
        </w:rPr>
        <w:t>Anlage</w:t>
      </w:r>
    </w:p>
    <w:sectPr w:rsidR="00DB61BC" w:rsidSect="00FE5212">
      <w:headerReference w:type="default" r:id="rId10"/>
      <w:headerReference w:type="first" r:id="rId11"/>
      <w:pgSz w:w="11906" w:h="16838"/>
      <w:pgMar w:top="1701" w:right="851" w:bottom="1134"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042E" w:rsidRDefault="005E042E" w:rsidP="00FE5212">
      <w:pPr>
        <w:spacing w:line="240" w:lineRule="auto"/>
      </w:pPr>
      <w:r>
        <w:separator/>
      </w:r>
    </w:p>
  </w:endnote>
  <w:endnote w:type="continuationSeparator" w:id="0">
    <w:p w:rsidR="005E042E" w:rsidRDefault="005E042E" w:rsidP="00FE52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Optima">
    <w:altName w:val="Courier New"/>
    <w:panose1 w:val="00000400000000000000"/>
    <w:charset w:val="00"/>
    <w:family w:val="swiss"/>
    <w:pitch w:val="variable"/>
    <w:sig w:usb0="A00000AF" w:usb1="5000205A" w:usb2="00000000" w:usb3="00000000" w:csb0="0000009B"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042E" w:rsidRDefault="005E042E" w:rsidP="00FE5212">
      <w:pPr>
        <w:spacing w:line="240" w:lineRule="auto"/>
      </w:pPr>
      <w:r>
        <w:separator/>
      </w:r>
    </w:p>
  </w:footnote>
  <w:footnote w:type="continuationSeparator" w:id="0">
    <w:p w:rsidR="005E042E" w:rsidRDefault="005E042E" w:rsidP="00FE521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19B1" w:rsidRPr="00FE5212" w:rsidRDefault="002119B1" w:rsidP="00FE5212">
    <w:pPr>
      <w:pStyle w:val="Kopfzeile"/>
      <w:jc w:val="center"/>
    </w:pPr>
    <w:r>
      <w:t xml:space="preserve">- </w:t>
    </w:r>
    <w:r w:rsidR="00440D19">
      <w:rPr>
        <w:rStyle w:val="Seitenzahl"/>
      </w:rPr>
      <w:fldChar w:fldCharType="begin"/>
    </w:r>
    <w:r>
      <w:rPr>
        <w:rStyle w:val="Seitenzahl"/>
      </w:rPr>
      <w:instrText xml:space="preserve"> PAGE </w:instrText>
    </w:r>
    <w:r w:rsidR="00440D19">
      <w:rPr>
        <w:rStyle w:val="Seitenzahl"/>
      </w:rPr>
      <w:fldChar w:fldCharType="separate"/>
    </w:r>
    <w:r w:rsidR="00C5496D">
      <w:rPr>
        <w:rStyle w:val="Seitenzahl"/>
        <w:noProof/>
      </w:rPr>
      <w:t>5</w:t>
    </w:r>
    <w:r w:rsidR="00440D19">
      <w:rPr>
        <w:rStyle w:val="Seitenzahl"/>
      </w:rPr>
      <w:fldChar w:fldCharType="end"/>
    </w:r>
    <w:r>
      <w:rPr>
        <w:rStyle w:val="Seitenzahl"/>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19B1" w:rsidRPr="00FE5212" w:rsidRDefault="002119B1" w:rsidP="000A2823">
    <w:pPr>
      <w:pStyle w:val="Kopfzeile"/>
      <w:jc w:val="right"/>
    </w:pPr>
    <w:r>
      <w:rPr>
        <w:noProof/>
        <w:lang w:eastAsia="de-AT"/>
      </w:rPr>
      <w:drawing>
        <wp:anchor distT="0" distB="0" distL="114300" distR="114300" simplePos="0" relativeHeight="251658240" behindDoc="1" locked="0" layoutInCell="1" allowOverlap="1">
          <wp:simplePos x="0" y="0"/>
          <wp:positionH relativeFrom="column">
            <wp:posOffset>4025900</wp:posOffset>
          </wp:positionH>
          <wp:positionV relativeFrom="paragraph">
            <wp:posOffset>-137160</wp:posOffset>
          </wp:positionV>
          <wp:extent cx="2251710" cy="845820"/>
          <wp:effectExtent l="19050" t="0" r="0" b="0"/>
          <wp:wrapNone/>
          <wp:docPr id="1" name="Grafik 0" descr="WKO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KO_Logo.jpg"/>
                  <pic:cNvPicPr/>
                </pic:nvPicPr>
                <pic:blipFill>
                  <a:blip r:embed="rId1"/>
                  <a:stretch>
                    <a:fillRect/>
                  </a:stretch>
                </pic:blipFill>
                <pic:spPr>
                  <a:xfrm>
                    <a:off x="0" y="0"/>
                    <a:ext cx="2251710" cy="84582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14930"/>
    <w:multiLevelType w:val="hybridMultilevel"/>
    <w:tmpl w:val="F8BE14B0"/>
    <w:lvl w:ilvl="0" w:tplc="0C07000B">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4100FC8"/>
    <w:multiLevelType w:val="hybridMultilevel"/>
    <w:tmpl w:val="DF8A6D1A"/>
    <w:lvl w:ilvl="0" w:tplc="163079B0">
      <w:start w:val="28"/>
      <w:numFmt w:val="bullet"/>
      <w:lvlText w:val="-"/>
      <w:lvlJc w:val="left"/>
      <w:pPr>
        <w:ind w:left="720" w:hanging="360"/>
      </w:pPr>
      <w:rPr>
        <w:rFonts w:ascii="Trebuchet MS" w:eastAsiaTheme="minorHAnsi" w:hAnsi="Trebuchet MS" w:cstheme="minorBidi"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2" w15:restartNumberingAfterBreak="0">
    <w:nsid w:val="04AE299B"/>
    <w:multiLevelType w:val="hybridMultilevel"/>
    <w:tmpl w:val="BDB2E02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077C5475"/>
    <w:multiLevelType w:val="hybridMultilevel"/>
    <w:tmpl w:val="6868CC56"/>
    <w:lvl w:ilvl="0" w:tplc="D5E41D6E">
      <w:numFmt w:val="bullet"/>
      <w:lvlText w:val="-"/>
      <w:lvlJc w:val="left"/>
      <w:pPr>
        <w:ind w:left="720" w:hanging="360"/>
      </w:pPr>
      <w:rPr>
        <w:rFonts w:ascii="Trebuchet MS" w:eastAsia="Times New Roman" w:hAnsi="Trebuchet MS"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0CEA29E6"/>
    <w:multiLevelType w:val="hybridMultilevel"/>
    <w:tmpl w:val="0C64C98A"/>
    <w:lvl w:ilvl="0" w:tplc="8D4057EA">
      <w:numFmt w:val="bullet"/>
      <w:lvlText w:val="-"/>
      <w:lvlJc w:val="left"/>
      <w:pPr>
        <w:ind w:left="720" w:hanging="360"/>
      </w:pPr>
      <w:rPr>
        <w:rFonts w:ascii="Trebuchet MS" w:eastAsia="Calibri" w:hAnsi="Trebuchet MS" w:cs="Times New Roman"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5" w15:restartNumberingAfterBreak="0">
    <w:nsid w:val="188F6904"/>
    <w:multiLevelType w:val="hybridMultilevel"/>
    <w:tmpl w:val="ED463AF6"/>
    <w:lvl w:ilvl="0" w:tplc="46B023E2">
      <w:numFmt w:val="bullet"/>
      <w:lvlText w:val="-"/>
      <w:lvlJc w:val="left"/>
      <w:pPr>
        <w:ind w:left="1068" w:hanging="360"/>
      </w:pPr>
      <w:rPr>
        <w:rFonts w:ascii="Trebuchet MS" w:eastAsia="Times New Roman" w:hAnsi="Trebuchet MS" w:cs="Times New Roman" w:hint="default"/>
      </w:rPr>
    </w:lvl>
    <w:lvl w:ilvl="1" w:tplc="0C070003" w:tentative="1">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6" w15:restartNumberingAfterBreak="0">
    <w:nsid w:val="1924290C"/>
    <w:multiLevelType w:val="hybridMultilevel"/>
    <w:tmpl w:val="3CEC8A52"/>
    <w:lvl w:ilvl="0" w:tplc="0C07000B">
      <w:start w:val="22"/>
      <w:numFmt w:val="bullet"/>
      <w:lvlText w:val=""/>
      <w:lvlJc w:val="left"/>
      <w:pPr>
        <w:ind w:left="720" w:hanging="360"/>
      </w:pPr>
      <w:rPr>
        <w:rFonts w:ascii="Wingdings" w:eastAsia="Times New Roman" w:hAnsi="Wingdings"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34AD1EC8"/>
    <w:multiLevelType w:val="hybridMultilevel"/>
    <w:tmpl w:val="B94C422E"/>
    <w:lvl w:ilvl="0" w:tplc="5406D29E">
      <w:numFmt w:val="bullet"/>
      <w:lvlText w:val="•"/>
      <w:lvlJc w:val="left"/>
      <w:pPr>
        <w:ind w:left="1068" w:hanging="708"/>
      </w:pPr>
      <w:rPr>
        <w:rFonts w:ascii="Trebuchet MS" w:eastAsia="Times New Roman" w:hAnsi="Trebuchet MS"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386B1513"/>
    <w:multiLevelType w:val="hybridMultilevel"/>
    <w:tmpl w:val="3DFA1752"/>
    <w:lvl w:ilvl="0" w:tplc="0C07000B">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3CE55123"/>
    <w:multiLevelType w:val="hybridMultilevel"/>
    <w:tmpl w:val="5C0A423E"/>
    <w:lvl w:ilvl="0" w:tplc="0C07000B">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41E65138"/>
    <w:multiLevelType w:val="hybridMultilevel"/>
    <w:tmpl w:val="AED6BCD2"/>
    <w:lvl w:ilvl="0" w:tplc="4F4CA91E">
      <w:start w:val="1"/>
      <w:numFmt w:val="decimal"/>
      <w:lvlText w:val="%1."/>
      <w:lvlJc w:val="left"/>
      <w:pPr>
        <w:ind w:left="360" w:hanging="360"/>
      </w:pPr>
      <w:rPr>
        <w:rFonts w:hint="default"/>
        <w:b/>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421607DF"/>
    <w:multiLevelType w:val="hybridMultilevel"/>
    <w:tmpl w:val="C58ABF38"/>
    <w:lvl w:ilvl="0" w:tplc="0C07000B">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437653C1"/>
    <w:multiLevelType w:val="hybridMultilevel"/>
    <w:tmpl w:val="A192F05A"/>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3" w15:restartNumberingAfterBreak="0">
    <w:nsid w:val="475D7FB1"/>
    <w:multiLevelType w:val="hybridMultilevel"/>
    <w:tmpl w:val="18889958"/>
    <w:lvl w:ilvl="0" w:tplc="5406D29E">
      <w:numFmt w:val="bullet"/>
      <w:lvlText w:val="•"/>
      <w:lvlJc w:val="left"/>
      <w:pPr>
        <w:ind w:left="1068" w:hanging="708"/>
      </w:pPr>
      <w:rPr>
        <w:rFonts w:ascii="Trebuchet MS" w:eastAsia="Times New Roman" w:hAnsi="Trebuchet MS"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68461DDA"/>
    <w:multiLevelType w:val="hybridMultilevel"/>
    <w:tmpl w:val="CD9C98D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736B104E"/>
    <w:multiLevelType w:val="hybridMultilevel"/>
    <w:tmpl w:val="596C155C"/>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7B472D60"/>
    <w:multiLevelType w:val="hybridMultilevel"/>
    <w:tmpl w:val="7806EEF2"/>
    <w:lvl w:ilvl="0" w:tplc="E2CEAD9A">
      <w:numFmt w:val="bullet"/>
      <w:lvlText w:val="-"/>
      <w:lvlJc w:val="left"/>
      <w:pPr>
        <w:ind w:left="720" w:hanging="360"/>
      </w:pPr>
      <w:rPr>
        <w:rFonts w:ascii="Trebuchet MS" w:eastAsia="Calibri" w:hAnsi="Trebuchet MS" w:cs="Times New Roman" w:hint="default"/>
      </w:rPr>
    </w:lvl>
    <w:lvl w:ilvl="1" w:tplc="0C070003">
      <w:start w:val="1"/>
      <w:numFmt w:val="decimal"/>
      <w:lvlText w:val="%2."/>
      <w:lvlJc w:val="left"/>
      <w:pPr>
        <w:tabs>
          <w:tab w:val="num" w:pos="1440"/>
        </w:tabs>
        <w:ind w:left="1440" w:hanging="360"/>
      </w:pPr>
    </w:lvl>
    <w:lvl w:ilvl="2" w:tplc="0C070005">
      <w:start w:val="1"/>
      <w:numFmt w:val="decimal"/>
      <w:lvlText w:val="%3."/>
      <w:lvlJc w:val="left"/>
      <w:pPr>
        <w:tabs>
          <w:tab w:val="num" w:pos="2160"/>
        </w:tabs>
        <w:ind w:left="2160" w:hanging="360"/>
      </w:pPr>
    </w:lvl>
    <w:lvl w:ilvl="3" w:tplc="0C070001">
      <w:start w:val="1"/>
      <w:numFmt w:val="decimal"/>
      <w:lvlText w:val="%4."/>
      <w:lvlJc w:val="left"/>
      <w:pPr>
        <w:tabs>
          <w:tab w:val="num" w:pos="2880"/>
        </w:tabs>
        <w:ind w:left="2880" w:hanging="360"/>
      </w:pPr>
    </w:lvl>
    <w:lvl w:ilvl="4" w:tplc="0C070003">
      <w:start w:val="1"/>
      <w:numFmt w:val="decimal"/>
      <w:lvlText w:val="%5."/>
      <w:lvlJc w:val="left"/>
      <w:pPr>
        <w:tabs>
          <w:tab w:val="num" w:pos="3600"/>
        </w:tabs>
        <w:ind w:left="3600" w:hanging="360"/>
      </w:pPr>
    </w:lvl>
    <w:lvl w:ilvl="5" w:tplc="0C070005">
      <w:start w:val="1"/>
      <w:numFmt w:val="decimal"/>
      <w:lvlText w:val="%6."/>
      <w:lvlJc w:val="left"/>
      <w:pPr>
        <w:tabs>
          <w:tab w:val="num" w:pos="4320"/>
        </w:tabs>
        <w:ind w:left="4320" w:hanging="360"/>
      </w:pPr>
    </w:lvl>
    <w:lvl w:ilvl="6" w:tplc="0C070001">
      <w:start w:val="1"/>
      <w:numFmt w:val="decimal"/>
      <w:lvlText w:val="%7."/>
      <w:lvlJc w:val="left"/>
      <w:pPr>
        <w:tabs>
          <w:tab w:val="num" w:pos="5040"/>
        </w:tabs>
        <w:ind w:left="5040" w:hanging="360"/>
      </w:pPr>
    </w:lvl>
    <w:lvl w:ilvl="7" w:tplc="0C070003">
      <w:start w:val="1"/>
      <w:numFmt w:val="decimal"/>
      <w:lvlText w:val="%8."/>
      <w:lvlJc w:val="left"/>
      <w:pPr>
        <w:tabs>
          <w:tab w:val="num" w:pos="5760"/>
        </w:tabs>
        <w:ind w:left="5760" w:hanging="360"/>
      </w:pPr>
    </w:lvl>
    <w:lvl w:ilvl="8" w:tplc="0C070005">
      <w:start w:val="1"/>
      <w:numFmt w:val="decimal"/>
      <w:lvlText w:val="%9."/>
      <w:lvlJc w:val="left"/>
      <w:pPr>
        <w:tabs>
          <w:tab w:val="num" w:pos="6480"/>
        </w:tabs>
        <w:ind w:left="6480" w:hanging="360"/>
      </w:pPr>
    </w:lvl>
  </w:abstractNum>
  <w:abstractNum w:abstractNumId="17" w15:restartNumberingAfterBreak="0">
    <w:nsid w:val="7BBA671A"/>
    <w:multiLevelType w:val="hybridMultilevel"/>
    <w:tmpl w:val="B414196C"/>
    <w:lvl w:ilvl="0" w:tplc="66646246">
      <w:numFmt w:val="bullet"/>
      <w:lvlText w:val="-"/>
      <w:lvlJc w:val="left"/>
      <w:pPr>
        <w:ind w:left="720" w:hanging="360"/>
      </w:pPr>
      <w:rPr>
        <w:rFonts w:ascii="Trebuchet MS" w:eastAsia="Times New Roman" w:hAnsi="Trebuchet MS" w:cs="Times New Roman" w:hint="default"/>
        <w:b w:val="0"/>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2"/>
  </w:num>
  <w:num w:numId="4">
    <w:abstractNumId w:val="7"/>
  </w:num>
  <w:num w:numId="5">
    <w:abstractNumId w:val="13"/>
  </w:num>
  <w:num w:numId="6">
    <w:abstractNumId w:val="8"/>
  </w:num>
  <w:num w:numId="7">
    <w:abstractNumId w:val="0"/>
  </w:num>
  <w:num w:numId="8">
    <w:abstractNumId w:val="12"/>
  </w:num>
  <w:num w:numId="9">
    <w:abstractNumId w:val="4"/>
  </w:num>
  <w:num w:numId="10">
    <w:abstractNumId w:val="15"/>
  </w:num>
  <w:num w:numId="11">
    <w:abstractNumId w:val="14"/>
  </w:num>
  <w:num w:numId="12">
    <w:abstractNumId w:val="17"/>
  </w:num>
  <w:num w:numId="13">
    <w:abstractNumId w:val="3"/>
  </w:num>
  <w:num w:numId="14">
    <w:abstractNumId w:val="6"/>
  </w:num>
  <w:num w:numId="15">
    <w:abstractNumId w:val="10"/>
  </w:num>
  <w:num w:numId="16">
    <w:abstractNumId w:val="1"/>
  </w:num>
  <w:num w:numId="17">
    <w:abstractNumId w:val="11"/>
  </w:num>
  <w:num w:numId="18">
    <w:abstractNumId w:val="9"/>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212"/>
    <w:rsid w:val="00002CAE"/>
    <w:rsid w:val="00005E3C"/>
    <w:rsid w:val="0000713F"/>
    <w:rsid w:val="00007A4B"/>
    <w:rsid w:val="0001211E"/>
    <w:rsid w:val="000127E2"/>
    <w:rsid w:val="00012D1A"/>
    <w:rsid w:val="00016D43"/>
    <w:rsid w:val="0003613E"/>
    <w:rsid w:val="0003719F"/>
    <w:rsid w:val="00041E2C"/>
    <w:rsid w:val="000608E2"/>
    <w:rsid w:val="000641B8"/>
    <w:rsid w:val="00071001"/>
    <w:rsid w:val="00075857"/>
    <w:rsid w:val="00082C8C"/>
    <w:rsid w:val="000A2823"/>
    <w:rsid w:val="000A71B3"/>
    <w:rsid w:val="000A71EA"/>
    <w:rsid w:val="000B7855"/>
    <w:rsid w:val="000C4EA0"/>
    <w:rsid w:val="000D5105"/>
    <w:rsid w:val="000D607B"/>
    <w:rsid w:val="000D7CD2"/>
    <w:rsid w:val="000F1496"/>
    <w:rsid w:val="000F69DE"/>
    <w:rsid w:val="00102C32"/>
    <w:rsid w:val="00102E04"/>
    <w:rsid w:val="00103E15"/>
    <w:rsid w:val="00106030"/>
    <w:rsid w:val="00106C6F"/>
    <w:rsid w:val="00123FF7"/>
    <w:rsid w:val="001406F4"/>
    <w:rsid w:val="001455FF"/>
    <w:rsid w:val="00152AAC"/>
    <w:rsid w:val="00166D5F"/>
    <w:rsid w:val="001675EA"/>
    <w:rsid w:val="00187F7B"/>
    <w:rsid w:val="00193FBA"/>
    <w:rsid w:val="001A1F7F"/>
    <w:rsid w:val="001B72A7"/>
    <w:rsid w:val="001D4B41"/>
    <w:rsid w:val="001D4FFA"/>
    <w:rsid w:val="001E2D12"/>
    <w:rsid w:val="001E57BF"/>
    <w:rsid w:val="001F25D1"/>
    <w:rsid w:val="00200EC8"/>
    <w:rsid w:val="0020107C"/>
    <w:rsid w:val="002119B1"/>
    <w:rsid w:val="00213287"/>
    <w:rsid w:val="00220E0E"/>
    <w:rsid w:val="00226ADD"/>
    <w:rsid w:val="00234639"/>
    <w:rsid w:val="00234791"/>
    <w:rsid w:val="00242FE3"/>
    <w:rsid w:val="002453C6"/>
    <w:rsid w:val="002535CA"/>
    <w:rsid w:val="00253970"/>
    <w:rsid w:val="00261C4B"/>
    <w:rsid w:val="00271D63"/>
    <w:rsid w:val="00277E56"/>
    <w:rsid w:val="00283BF5"/>
    <w:rsid w:val="00290BD4"/>
    <w:rsid w:val="0029460B"/>
    <w:rsid w:val="002971D3"/>
    <w:rsid w:val="002A2E36"/>
    <w:rsid w:val="002A53A6"/>
    <w:rsid w:val="002A6A53"/>
    <w:rsid w:val="002C33A7"/>
    <w:rsid w:val="002D332A"/>
    <w:rsid w:val="002D4063"/>
    <w:rsid w:val="002D67F4"/>
    <w:rsid w:val="002D742C"/>
    <w:rsid w:val="002E3140"/>
    <w:rsid w:val="002E3A73"/>
    <w:rsid w:val="002E40B7"/>
    <w:rsid w:val="002E6D64"/>
    <w:rsid w:val="002F0358"/>
    <w:rsid w:val="00315F80"/>
    <w:rsid w:val="00325579"/>
    <w:rsid w:val="003258AF"/>
    <w:rsid w:val="00326AD7"/>
    <w:rsid w:val="00331C9B"/>
    <w:rsid w:val="003351AC"/>
    <w:rsid w:val="00346DEC"/>
    <w:rsid w:val="00353145"/>
    <w:rsid w:val="003533A0"/>
    <w:rsid w:val="00354C94"/>
    <w:rsid w:val="003556E7"/>
    <w:rsid w:val="00356823"/>
    <w:rsid w:val="00362E4E"/>
    <w:rsid w:val="0036627B"/>
    <w:rsid w:val="0037643C"/>
    <w:rsid w:val="00382B0A"/>
    <w:rsid w:val="00385222"/>
    <w:rsid w:val="003925AD"/>
    <w:rsid w:val="003956DD"/>
    <w:rsid w:val="003A3796"/>
    <w:rsid w:val="003B4028"/>
    <w:rsid w:val="003C65B5"/>
    <w:rsid w:val="003C7BD4"/>
    <w:rsid w:val="003D06D7"/>
    <w:rsid w:val="003D1A2B"/>
    <w:rsid w:val="003D621A"/>
    <w:rsid w:val="003D70C4"/>
    <w:rsid w:val="003D7AD3"/>
    <w:rsid w:val="003E3102"/>
    <w:rsid w:val="003F6C84"/>
    <w:rsid w:val="003F72E9"/>
    <w:rsid w:val="003F792D"/>
    <w:rsid w:val="004026D4"/>
    <w:rsid w:val="00411B54"/>
    <w:rsid w:val="00426B63"/>
    <w:rsid w:val="004270E2"/>
    <w:rsid w:val="00432130"/>
    <w:rsid w:val="00440D19"/>
    <w:rsid w:val="00446AEB"/>
    <w:rsid w:val="00450DC1"/>
    <w:rsid w:val="00454F8D"/>
    <w:rsid w:val="00471400"/>
    <w:rsid w:val="00482ED1"/>
    <w:rsid w:val="00484B00"/>
    <w:rsid w:val="0049165A"/>
    <w:rsid w:val="004A0C5F"/>
    <w:rsid w:val="004A1779"/>
    <w:rsid w:val="004A72A6"/>
    <w:rsid w:val="004C5BD9"/>
    <w:rsid w:val="004D6842"/>
    <w:rsid w:val="004F23C4"/>
    <w:rsid w:val="004F3616"/>
    <w:rsid w:val="00501DF5"/>
    <w:rsid w:val="005107F5"/>
    <w:rsid w:val="005154D9"/>
    <w:rsid w:val="005246B6"/>
    <w:rsid w:val="00527B54"/>
    <w:rsid w:val="00531490"/>
    <w:rsid w:val="005350DD"/>
    <w:rsid w:val="0054713B"/>
    <w:rsid w:val="00547A59"/>
    <w:rsid w:val="005501F5"/>
    <w:rsid w:val="005534B9"/>
    <w:rsid w:val="00554241"/>
    <w:rsid w:val="005739B4"/>
    <w:rsid w:val="0058375A"/>
    <w:rsid w:val="005910A5"/>
    <w:rsid w:val="00596D89"/>
    <w:rsid w:val="005A7E33"/>
    <w:rsid w:val="005B7474"/>
    <w:rsid w:val="005B7B2B"/>
    <w:rsid w:val="005C07D9"/>
    <w:rsid w:val="005C5376"/>
    <w:rsid w:val="005D0BA5"/>
    <w:rsid w:val="005D282D"/>
    <w:rsid w:val="005D3BF4"/>
    <w:rsid w:val="005D6B25"/>
    <w:rsid w:val="005E042E"/>
    <w:rsid w:val="005E5A8C"/>
    <w:rsid w:val="0060498F"/>
    <w:rsid w:val="0061701B"/>
    <w:rsid w:val="00617DBA"/>
    <w:rsid w:val="006209DA"/>
    <w:rsid w:val="00625B32"/>
    <w:rsid w:val="00626C2B"/>
    <w:rsid w:val="006327CF"/>
    <w:rsid w:val="00640476"/>
    <w:rsid w:val="006533D2"/>
    <w:rsid w:val="0066391E"/>
    <w:rsid w:val="00665515"/>
    <w:rsid w:val="00667712"/>
    <w:rsid w:val="006A78D2"/>
    <w:rsid w:val="006B2600"/>
    <w:rsid w:val="006B464D"/>
    <w:rsid w:val="006D58B7"/>
    <w:rsid w:val="006E0005"/>
    <w:rsid w:val="006E2640"/>
    <w:rsid w:val="006E2E0E"/>
    <w:rsid w:val="006E34E5"/>
    <w:rsid w:val="006E5EB7"/>
    <w:rsid w:val="006F2C6D"/>
    <w:rsid w:val="006F7DFE"/>
    <w:rsid w:val="007050C2"/>
    <w:rsid w:val="0071144E"/>
    <w:rsid w:val="00724A80"/>
    <w:rsid w:val="00733E21"/>
    <w:rsid w:val="007363BA"/>
    <w:rsid w:val="00737458"/>
    <w:rsid w:val="00744E03"/>
    <w:rsid w:val="00746591"/>
    <w:rsid w:val="007572B2"/>
    <w:rsid w:val="00757D59"/>
    <w:rsid w:val="007624B1"/>
    <w:rsid w:val="00764C39"/>
    <w:rsid w:val="00765216"/>
    <w:rsid w:val="00765322"/>
    <w:rsid w:val="007766FC"/>
    <w:rsid w:val="00780333"/>
    <w:rsid w:val="00782F87"/>
    <w:rsid w:val="00786DF5"/>
    <w:rsid w:val="007A1CFE"/>
    <w:rsid w:val="007A6524"/>
    <w:rsid w:val="007B040C"/>
    <w:rsid w:val="007D4473"/>
    <w:rsid w:val="007D472B"/>
    <w:rsid w:val="007E0DF2"/>
    <w:rsid w:val="007F0DCC"/>
    <w:rsid w:val="007F47AD"/>
    <w:rsid w:val="007F6CFC"/>
    <w:rsid w:val="008042C9"/>
    <w:rsid w:val="00813BFA"/>
    <w:rsid w:val="00813C58"/>
    <w:rsid w:val="00822213"/>
    <w:rsid w:val="00826F39"/>
    <w:rsid w:val="00830B81"/>
    <w:rsid w:val="00831F79"/>
    <w:rsid w:val="00835A38"/>
    <w:rsid w:val="00841B66"/>
    <w:rsid w:val="0085287F"/>
    <w:rsid w:val="00853FDE"/>
    <w:rsid w:val="0085688E"/>
    <w:rsid w:val="00861D96"/>
    <w:rsid w:val="00864BB9"/>
    <w:rsid w:val="00873CCE"/>
    <w:rsid w:val="00873F6D"/>
    <w:rsid w:val="00875856"/>
    <w:rsid w:val="00883219"/>
    <w:rsid w:val="008862DB"/>
    <w:rsid w:val="00886998"/>
    <w:rsid w:val="00897409"/>
    <w:rsid w:val="008A09B9"/>
    <w:rsid w:val="008A0FF8"/>
    <w:rsid w:val="008A24DF"/>
    <w:rsid w:val="008A39A3"/>
    <w:rsid w:val="008A3B12"/>
    <w:rsid w:val="008A713B"/>
    <w:rsid w:val="008B46EE"/>
    <w:rsid w:val="008C0021"/>
    <w:rsid w:val="008C62EC"/>
    <w:rsid w:val="008C67C8"/>
    <w:rsid w:val="008D6D1E"/>
    <w:rsid w:val="008D73CD"/>
    <w:rsid w:val="008F3035"/>
    <w:rsid w:val="008F40A5"/>
    <w:rsid w:val="008F473A"/>
    <w:rsid w:val="00905D69"/>
    <w:rsid w:val="00915484"/>
    <w:rsid w:val="009178FA"/>
    <w:rsid w:val="00947228"/>
    <w:rsid w:val="00951D89"/>
    <w:rsid w:val="00954E0A"/>
    <w:rsid w:val="009576BB"/>
    <w:rsid w:val="00960441"/>
    <w:rsid w:val="00964715"/>
    <w:rsid w:val="009648DE"/>
    <w:rsid w:val="009663B7"/>
    <w:rsid w:val="00974747"/>
    <w:rsid w:val="00976333"/>
    <w:rsid w:val="00982719"/>
    <w:rsid w:val="00990658"/>
    <w:rsid w:val="009A5FD1"/>
    <w:rsid w:val="009A789A"/>
    <w:rsid w:val="009B14CE"/>
    <w:rsid w:val="009B7DF8"/>
    <w:rsid w:val="009C58B4"/>
    <w:rsid w:val="009D0605"/>
    <w:rsid w:val="009E0550"/>
    <w:rsid w:val="009F7963"/>
    <w:rsid w:val="00A01D86"/>
    <w:rsid w:val="00A04226"/>
    <w:rsid w:val="00A07A71"/>
    <w:rsid w:val="00A22455"/>
    <w:rsid w:val="00A26AF1"/>
    <w:rsid w:val="00A30D99"/>
    <w:rsid w:val="00A35DAF"/>
    <w:rsid w:val="00A40993"/>
    <w:rsid w:val="00A4458A"/>
    <w:rsid w:val="00A44660"/>
    <w:rsid w:val="00A459A4"/>
    <w:rsid w:val="00A675D0"/>
    <w:rsid w:val="00A718F9"/>
    <w:rsid w:val="00A72128"/>
    <w:rsid w:val="00AC215F"/>
    <w:rsid w:val="00AC28F5"/>
    <w:rsid w:val="00AC617A"/>
    <w:rsid w:val="00AD057B"/>
    <w:rsid w:val="00AD104F"/>
    <w:rsid w:val="00AD16CA"/>
    <w:rsid w:val="00AE2B70"/>
    <w:rsid w:val="00AF0DFC"/>
    <w:rsid w:val="00B05EEA"/>
    <w:rsid w:val="00B259C5"/>
    <w:rsid w:val="00B27DDA"/>
    <w:rsid w:val="00B313B9"/>
    <w:rsid w:val="00B3531E"/>
    <w:rsid w:val="00B44472"/>
    <w:rsid w:val="00B445BB"/>
    <w:rsid w:val="00B45EF4"/>
    <w:rsid w:val="00B514B0"/>
    <w:rsid w:val="00B56534"/>
    <w:rsid w:val="00B735A3"/>
    <w:rsid w:val="00B84055"/>
    <w:rsid w:val="00BA1C24"/>
    <w:rsid w:val="00BA3000"/>
    <w:rsid w:val="00BB37A8"/>
    <w:rsid w:val="00BB5056"/>
    <w:rsid w:val="00BB6754"/>
    <w:rsid w:val="00BB6AB6"/>
    <w:rsid w:val="00BB7BA7"/>
    <w:rsid w:val="00BC2477"/>
    <w:rsid w:val="00BC6737"/>
    <w:rsid w:val="00BC6C12"/>
    <w:rsid w:val="00BD39D5"/>
    <w:rsid w:val="00BD567B"/>
    <w:rsid w:val="00BE79A7"/>
    <w:rsid w:val="00BF2B69"/>
    <w:rsid w:val="00BF312C"/>
    <w:rsid w:val="00C10E89"/>
    <w:rsid w:val="00C36B74"/>
    <w:rsid w:val="00C4226B"/>
    <w:rsid w:val="00C42CFE"/>
    <w:rsid w:val="00C439B5"/>
    <w:rsid w:val="00C5496D"/>
    <w:rsid w:val="00C615EC"/>
    <w:rsid w:val="00C65C5C"/>
    <w:rsid w:val="00C71F06"/>
    <w:rsid w:val="00C779A5"/>
    <w:rsid w:val="00C8448C"/>
    <w:rsid w:val="00C96A39"/>
    <w:rsid w:val="00CB1F99"/>
    <w:rsid w:val="00CB4B04"/>
    <w:rsid w:val="00CB4C5F"/>
    <w:rsid w:val="00CB71CB"/>
    <w:rsid w:val="00CC5EA2"/>
    <w:rsid w:val="00CD0FBC"/>
    <w:rsid w:val="00CD1CF2"/>
    <w:rsid w:val="00CD434B"/>
    <w:rsid w:val="00CD6209"/>
    <w:rsid w:val="00CD7345"/>
    <w:rsid w:val="00CE144C"/>
    <w:rsid w:val="00CE1A3D"/>
    <w:rsid w:val="00CE67ED"/>
    <w:rsid w:val="00CF5188"/>
    <w:rsid w:val="00CF54DF"/>
    <w:rsid w:val="00D00A67"/>
    <w:rsid w:val="00D00D00"/>
    <w:rsid w:val="00D04C36"/>
    <w:rsid w:val="00D4620F"/>
    <w:rsid w:val="00D5367E"/>
    <w:rsid w:val="00D55033"/>
    <w:rsid w:val="00D55BF3"/>
    <w:rsid w:val="00D60841"/>
    <w:rsid w:val="00D615F1"/>
    <w:rsid w:val="00D676F5"/>
    <w:rsid w:val="00D710D2"/>
    <w:rsid w:val="00D80ABC"/>
    <w:rsid w:val="00D86C87"/>
    <w:rsid w:val="00D90FF5"/>
    <w:rsid w:val="00D91629"/>
    <w:rsid w:val="00D956B6"/>
    <w:rsid w:val="00DA37ED"/>
    <w:rsid w:val="00DA5D6E"/>
    <w:rsid w:val="00DB3E70"/>
    <w:rsid w:val="00DB61BC"/>
    <w:rsid w:val="00DB6699"/>
    <w:rsid w:val="00DC7BC0"/>
    <w:rsid w:val="00DC7FD6"/>
    <w:rsid w:val="00DD6B4B"/>
    <w:rsid w:val="00DE0B69"/>
    <w:rsid w:val="00DE516A"/>
    <w:rsid w:val="00DE5505"/>
    <w:rsid w:val="00DE7501"/>
    <w:rsid w:val="00E07AE8"/>
    <w:rsid w:val="00E11A80"/>
    <w:rsid w:val="00E26D34"/>
    <w:rsid w:val="00E33347"/>
    <w:rsid w:val="00E3381F"/>
    <w:rsid w:val="00E50617"/>
    <w:rsid w:val="00E51955"/>
    <w:rsid w:val="00E70AE7"/>
    <w:rsid w:val="00E736C4"/>
    <w:rsid w:val="00E765D3"/>
    <w:rsid w:val="00E76A26"/>
    <w:rsid w:val="00E8086C"/>
    <w:rsid w:val="00E9598E"/>
    <w:rsid w:val="00E95F0C"/>
    <w:rsid w:val="00EA367F"/>
    <w:rsid w:val="00EB42A2"/>
    <w:rsid w:val="00EB432D"/>
    <w:rsid w:val="00EC5392"/>
    <w:rsid w:val="00EC5E56"/>
    <w:rsid w:val="00EC6603"/>
    <w:rsid w:val="00ED2A31"/>
    <w:rsid w:val="00EE25FD"/>
    <w:rsid w:val="00EF3290"/>
    <w:rsid w:val="00F014E6"/>
    <w:rsid w:val="00F0478C"/>
    <w:rsid w:val="00F07DFB"/>
    <w:rsid w:val="00F1089C"/>
    <w:rsid w:val="00F11A35"/>
    <w:rsid w:val="00F20AE4"/>
    <w:rsid w:val="00F25B7C"/>
    <w:rsid w:val="00F2629E"/>
    <w:rsid w:val="00F31D66"/>
    <w:rsid w:val="00F325D3"/>
    <w:rsid w:val="00F45B5D"/>
    <w:rsid w:val="00F51BBC"/>
    <w:rsid w:val="00F562FD"/>
    <w:rsid w:val="00F56473"/>
    <w:rsid w:val="00F7001B"/>
    <w:rsid w:val="00F723C7"/>
    <w:rsid w:val="00F83F47"/>
    <w:rsid w:val="00F841BF"/>
    <w:rsid w:val="00F84319"/>
    <w:rsid w:val="00F86929"/>
    <w:rsid w:val="00F923A0"/>
    <w:rsid w:val="00F94622"/>
    <w:rsid w:val="00FA68C6"/>
    <w:rsid w:val="00FA7B80"/>
    <w:rsid w:val="00FB3022"/>
    <w:rsid w:val="00FB403B"/>
    <w:rsid w:val="00FC2815"/>
    <w:rsid w:val="00FC6679"/>
    <w:rsid w:val="00FD3A38"/>
    <w:rsid w:val="00FD3DA0"/>
    <w:rsid w:val="00FE13A5"/>
    <w:rsid w:val="00FE5212"/>
    <w:rsid w:val="00FE6CB1"/>
    <w:rsid w:val="00FF2088"/>
    <w:rsid w:val="00FF363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8FFD6CF-696E-4390-B4BB-302E4CDC0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de-AT" w:eastAsia="en-US" w:bidi="ar-SA"/>
      </w:rPr>
    </w:rPrDefault>
    <w:pPrDefault>
      <w:pPr>
        <w:spacing w:line="280" w:lineRule="atLeast"/>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C2477"/>
    <w:rPr>
      <w:rFonts w:ascii="Trebuchet MS" w:hAnsi="Trebuchet MS" w:cs="Times New Roman"/>
      <w:szCs w:val="20"/>
      <w:lang w:eastAsia="de-DE"/>
    </w:rPr>
  </w:style>
  <w:style w:type="paragraph" w:styleId="berschrift1">
    <w:name w:val="heading 1"/>
    <w:basedOn w:val="Standard"/>
    <w:next w:val="Standard"/>
    <w:link w:val="berschrift1Zchn"/>
    <w:qFormat/>
    <w:rsid w:val="00BC2477"/>
    <w:pPr>
      <w:keepNext/>
      <w:pageBreakBefore/>
      <w:spacing w:after="360"/>
      <w:outlineLvl w:val="0"/>
    </w:pPr>
    <w:rPr>
      <w:rFonts w:ascii="Optima" w:hAnsi="Optima"/>
      <w:b/>
      <w:caps/>
      <w:kern w:val="28"/>
      <w:sz w:val="48"/>
    </w:rPr>
  </w:style>
  <w:style w:type="paragraph" w:styleId="berschrift2">
    <w:name w:val="heading 2"/>
    <w:basedOn w:val="Standard"/>
    <w:next w:val="Standard"/>
    <w:link w:val="berschrift2Zchn"/>
    <w:qFormat/>
    <w:rsid w:val="00BC2477"/>
    <w:pPr>
      <w:keepNext/>
      <w:spacing w:before="240" w:after="240"/>
      <w:outlineLvl w:val="1"/>
    </w:pPr>
    <w:rPr>
      <w:rFonts w:ascii="Optima" w:hAnsi="Optima"/>
      <w:b/>
      <w:caps/>
      <w:sz w:val="32"/>
    </w:rPr>
  </w:style>
  <w:style w:type="paragraph" w:styleId="berschrift3">
    <w:name w:val="heading 3"/>
    <w:basedOn w:val="Standard"/>
    <w:next w:val="Standard"/>
    <w:link w:val="berschrift3Zchn"/>
    <w:qFormat/>
    <w:rsid w:val="00BC2477"/>
    <w:pPr>
      <w:keepNext/>
      <w:spacing w:before="240" w:after="240"/>
      <w:outlineLvl w:val="2"/>
    </w:pPr>
    <w:rPr>
      <w:rFonts w:ascii="Optima" w:hAnsi="Optima"/>
      <w:b/>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385222"/>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85222"/>
    <w:rPr>
      <w:rFonts w:ascii="Tahoma" w:hAnsi="Tahoma" w:cs="Tahoma"/>
      <w:sz w:val="16"/>
      <w:szCs w:val="16"/>
    </w:rPr>
  </w:style>
  <w:style w:type="paragraph" w:styleId="Funotentext">
    <w:name w:val="footnote text"/>
    <w:basedOn w:val="Standard"/>
    <w:link w:val="FunotentextZchn"/>
    <w:semiHidden/>
    <w:rsid w:val="00BC2477"/>
    <w:rPr>
      <w:sz w:val="18"/>
    </w:rPr>
  </w:style>
  <w:style w:type="character" w:customStyle="1" w:styleId="FunotentextZchn">
    <w:name w:val="Fußnotentext Zchn"/>
    <w:basedOn w:val="Absatz-Standardschriftart"/>
    <w:link w:val="Funotentext"/>
    <w:semiHidden/>
    <w:rsid w:val="00BC2477"/>
    <w:rPr>
      <w:rFonts w:ascii="Trebuchet MS" w:eastAsia="Times New Roman" w:hAnsi="Trebuchet MS" w:cs="Times New Roman"/>
      <w:sz w:val="18"/>
      <w:szCs w:val="20"/>
      <w:lang w:val="de-DE" w:eastAsia="de-DE"/>
    </w:rPr>
  </w:style>
  <w:style w:type="character" w:customStyle="1" w:styleId="berschrift1Zchn">
    <w:name w:val="Überschrift 1 Zchn"/>
    <w:basedOn w:val="Absatz-Standardschriftart"/>
    <w:link w:val="berschrift1"/>
    <w:rsid w:val="00BC2477"/>
    <w:rPr>
      <w:rFonts w:ascii="Optima" w:eastAsia="Times New Roman" w:hAnsi="Optima" w:cs="Times New Roman"/>
      <w:b/>
      <w:caps/>
      <w:kern w:val="28"/>
      <w:sz w:val="48"/>
      <w:szCs w:val="20"/>
      <w:lang w:val="de-DE" w:eastAsia="de-DE"/>
    </w:rPr>
  </w:style>
  <w:style w:type="character" w:customStyle="1" w:styleId="berschrift2Zchn">
    <w:name w:val="Überschrift 2 Zchn"/>
    <w:basedOn w:val="Absatz-Standardschriftart"/>
    <w:link w:val="berschrift2"/>
    <w:rsid w:val="00BC2477"/>
    <w:rPr>
      <w:rFonts w:ascii="Optima" w:eastAsia="Times New Roman" w:hAnsi="Optima" w:cs="Times New Roman"/>
      <w:b/>
      <w:caps/>
      <w:sz w:val="32"/>
      <w:szCs w:val="20"/>
      <w:lang w:val="de-DE" w:eastAsia="de-DE"/>
    </w:rPr>
  </w:style>
  <w:style w:type="character" w:customStyle="1" w:styleId="berschrift3Zchn">
    <w:name w:val="Überschrift 3 Zchn"/>
    <w:basedOn w:val="Absatz-Standardschriftart"/>
    <w:link w:val="berschrift3"/>
    <w:rsid w:val="00BC2477"/>
    <w:rPr>
      <w:rFonts w:ascii="Optima" w:eastAsia="Times New Roman" w:hAnsi="Optima" w:cs="Times New Roman"/>
      <w:b/>
      <w:sz w:val="28"/>
      <w:szCs w:val="20"/>
      <w:lang w:val="de-DE" w:eastAsia="de-DE"/>
    </w:rPr>
  </w:style>
  <w:style w:type="paragraph" w:styleId="Kopfzeile">
    <w:name w:val="header"/>
    <w:basedOn w:val="Standard"/>
    <w:link w:val="KopfzeileZchn"/>
    <w:uiPriority w:val="99"/>
    <w:semiHidden/>
    <w:unhideWhenUsed/>
    <w:rsid w:val="00FE5212"/>
    <w:pPr>
      <w:tabs>
        <w:tab w:val="center" w:pos="4536"/>
        <w:tab w:val="right" w:pos="9072"/>
      </w:tabs>
      <w:spacing w:line="240" w:lineRule="auto"/>
    </w:pPr>
  </w:style>
  <w:style w:type="character" w:customStyle="1" w:styleId="KopfzeileZchn">
    <w:name w:val="Kopfzeile Zchn"/>
    <w:basedOn w:val="Absatz-Standardschriftart"/>
    <w:link w:val="Kopfzeile"/>
    <w:uiPriority w:val="99"/>
    <w:semiHidden/>
    <w:rsid w:val="00FE5212"/>
    <w:rPr>
      <w:rFonts w:ascii="Trebuchet MS" w:hAnsi="Trebuchet MS" w:cs="Times New Roman"/>
      <w:szCs w:val="20"/>
      <w:lang w:eastAsia="de-DE"/>
    </w:rPr>
  </w:style>
  <w:style w:type="paragraph" w:styleId="Fuzeile">
    <w:name w:val="footer"/>
    <w:basedOn w:val="Standard"/>
    <w:link w:val="FuzeileZchn"/>
    <w:uiPriority w:val="99"/>
    <w:semiHidden/>
    <w:unhideWhenUsed/>
    <w:rsid w:val="00FE5212"/>
    <w:pPr>
      <w:tabs>
        <w:tab w:val="center" w:pos="4536"/>
        <w:tab w:val="right" w:pos="9072"/>
      </w:tabs>
      <w:spacing w:line="240" w:lineRule="auto"/>
    </w:pPr>
  </w:style>
  <w:style w:type="character" w:customStyle="1" w:styleId="FuzeileZchn">
    <w:name w:val="Fußzeile Zchn"/>
    <w:basedOn w:val="Absatz-Standardschriftart"/>
    <w:link w:val="Fuzeile"/>
    <w:uiPriority w:val="99"/>
    <w:semiHidden/>
    <w:rsid w:val="00FE5212"/>
    <w:rPr>
      <w:rFonts w:ascii="Trebuchet MS" w:hAnsi="Trebuchet MS" w:cs="Times New Roman"/>
      <w:szCs w:val="20"/>
      <w:lang w:eastAsia="de-DE"/>
    </w:rPr>
  </w:style>
  <w:style w:type="character" w:styleId="Seitenzahl">
    <w:name w:val="page number"/>
    <w:basedOn w:val="Absatz-Standardschriftart"/>
    <w:uiPriority w:val="99"/>
    <w:semiHidden/>
    <w:unhideWhenUsed/>
    <w:rsid w:val="00FE5212"/>
  </w:style>
  <w:style w:type="paragraph" w:styleId="Listenabsatz">
    <w:name w:val="List Paragraph"/>
    <w:basedOn w:val="Standard"/>
    <w:uiPriority w:val="34"/>
    <w:qFormat/>
    <w:rsid w:val="00FE5212"/>
    <w:pPr>
      <w:spacing w:line="240" w:lineRule="auto"/>
      <w:ind w:left="720"/>
    </w:pPr>
    <w:rPr>
      <w:rFonts w:eastAsiaTheme="minorHAnsi"/>
      <w:szCs w:val="22"/>
      <w:lang w:eastAsia="de-AT"/>
    </w:rPr>
  </w:style>
  <w:style w:type="paragraph" w:styleId="NurText">
    <w:name w:val="Plain Text"/>
    <w:basedOn w:val="Standard"/>
    <w:link w:val="NurTextZchn"/>
    <w:uiPriority w:val="99"/>
    <w:unhideWhenUsed/>
    <w:rsid w:val="000A2823"/>
    <w:pPr>
      <w:spacing w:line="240" w:lineRule="auto"/>
    </w:pPr>
    <w:rPr>
      <w:rFonts w:ascii="Consolas" w:eastAsia="Calibri" w:hAnsi="Consolas"/>
      <w:sz w:val="21"/>
      <w:szCs w:val="21"/>
      <w:lang w:eastAsia="en-US"/>
    </w:rPr>
  </w:style>
  <w:style w:type="character" w:customStyle="1" w:styleId="NurTextZchn">
    <w:name w:val="Nur Text Zchn"/>
    <w:basedOn w:val="Absatz-Standardschriftart"/>
    <w:link w:val="NurText"/>
    <w:uiPriority w:val="99"/>
    <w:rsid w:val="000A2823"/>
    <w:rPr>
      <w:rFonts w:ascii="Consolas" w:eastAsia="Calibri" w:hAnsi="Consolas" w:cs="Times New Roman"/>
      <w:sz w:val="21"/>
      <w:szCs w:val="21"/>
    </w:rPr>
  </w:style>
  <w:style w:type="character" w:styleId="Hyperlink">
    <w:name w:val="Hyperlink"/>
    <w:basedOn w:val="Absatz-Standardschriftart"/>
    <w:uiPriority w:val="99"/>
    <w:rsid w:val="000A2823"/>
    <w:rPr>
      <w:color w:val="0000FF"/>
      <w:u w:val="single"/>
    </w:rPr>
  </w:style>
  <w:style w:type="paragraph" w:customStyle="1" w:styleId="Default">
    <w:name w:val="Default"/>
    <w:rsid w:val="00DB61BC"/>
    <w:pPr>
      <w:autoSpaceDE w:val="0"/>
      <w:autoSpaceDN w:val="0"/>
      <w:adjustRightInd w:val="0"/>
      <w:spacing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038408">
      <w:bodyDiv w:val="1"/>
      <w:marLeft w:val="0"/>
      <w:marRight w:val="0"/>
      <w:marTop w:val="0"/>
      <w:marBottom w:val="0"/>
      <w:divBdr>
        <w:top w:val="none" w:sz="0" w:space="0" w:color="auto"/>
        <w:left w:val="none" w:sz="0" w:space="0" w:color="auto"/>
        <w:bottom w:val="none" w:sz="0" w:space="0" w:color="auto"/>
        <w:right w:val="none" w:sz="0" w:space="0" w:color="auto"/>
      </w:divBdr>
    </w:div>
    <w:div w:id="790393756">
      <w:bodyDiv w:val="1"/>
      <w:marLeft w:val="0"/>
      <w:marRight w:val="0"/>
      <w:marTop w:val="0"/>
      <w:marBottom w:val="0"/>
      <w:divBdr>
        <w:top w:val="none" w:sz="0" w:space="0" w:color="auto"/>
        <w:left w:val="none" w:sz="0" w:space="0" w:color="auto"/>
        <w:bottom w:val="none" w:sz="0" w:space="0" w:color="auto"/>
        <w:right w:val="none" w:sz="0" w:space="0" w:color="auto"/>
      </w:divBdr>
    </w:div>
    <w:div w:id="818887650">
      <w:bodyDiv w:val="1"/>
      <w:marLeft w:val="0"/>
      <w:marRight w:val="0"/>
      <w:marTop w:val="0"/>
      <w:marBottom w:val="0"/>
      <w:divBdr>
        <w:top w:val="none" w:sz="0" w:space="0" w:color="auto"/>
        <w:left w:val="none" w:sz="0" w:space="0" w:color="auto"/>
        <w:bottom w:val="none" w:sz="0" w:space="0" w:color="auto"/>
        <w:right w:val="none" w:sz="0" w:space="0" w:color="auto"/>
      </w:divBdr>
    </w:div>
    <w:div w:id="1053383818">
      <w:bodyDiv w:val="1"/>
      <w:marLeft w:val="0"/>
      <w:marRight w:val="0"/>
      <w:marTop w:val="0"/>
      <w:marBottom w:val="0"/>
      <w:divBdr>
        <w:top w:val="none" w:sz="0" w:space="0" w:color="auto"/>
        <w:left w:val="none" w:sz="0" w:space="0" w:color="auto"/>
        <w:bottom w:val="none" w:sz="0" w:space="0" w:color="auto"/>
        <w:right w:val="none" w:sz="0" w:space="0" w:color="auto"/>
      </w:divBdr>
    </w:div>
    <w:div w:id="1286498883">
      <w:bodyDiv w:val="1"/>
      <w:marLeft w:val="0"/>
      <w:marRight w:val="0"/>
      <w:marTop w:val="0"/>
      <w:marBottom w:val="0"/>
      <w:divBdr>
        <w:top w:val="none" w:sz="0" w:space="0" w:color="auto"/>
        <w:left w:val="none" w:sz="0" w:space="0" w:color="auto"/>
        <w:bottom w:val="none" w:sz="0" w:space="0" w:color="auto"/>
        <w:right w:val="none" w:sz="0" w:space="0" w:color="auto"/>
      </w:divBdr>
    </w:div>
    <w:div w:id="1469014024">
      <w:bodyDiv w:val="1"/>
      <w:marLeft w:val="0"/>
      <w:marRight w:val="0"/>
      <w:marTop w:val="0"/>
      <w:marBottom w:val="0"/>
      <w:divBdr>
        <w:top w:val="none" w:sz="0" w:space="0" w:color="auto"/>
        <w:left w:val="none" w:sz="0" w:space="0" w:color="auto"/>
        <w:bottom w:val="none" w:sz="0" w:space="0" w:color="auto"/>
        <w:right w:val="none" w:sz="0" w:space="0" w:color="auto"/>
      </w:divBdr>
    </w:div>
    <w:div w:id="1593705867">
      <w:bodyDiv w:val="1"/>
      <w:marLeft w:val="0"/>
      <w:marRight w:val="0"/>
      <w:marTop w:val="0"/>
      <w:marBottom w:val="0"/>
      <w:divBdr>
        <w:top w:val="none" w:sz="0" w:space="0" w:color="auto"/>
        <w:left w:val="none" w:sz="0" w:space="0" w:color="auto"/>
        <w:bottom w:val="none" w:sz="0" w:space="0" w:color="auto"/>
        <w:right w:val="none" w:sz="0" w:space="0" w:color="auto"/>
      </w:divBdr>
    </w:div>
    <w:div w:id="1695031065">
      <w:bodyDiv w:val="1"/>
      <w:marLeft w:val="0"/>
      <w:marRight w:val="0"/>
      <w:marTop w:val="0"/>
      <w:marBottom w:val="0"/>
      <w:divBdr>
        <w:top w:val="none" w:sz="0" w:space="0" w:color="auto"/>
        <w:left w:val="none" w:sz="0" w:space="0" w:color="auto"/>
        <w:bottom w:val="none" w:sz="0" w:space="0" w:color="auto"/>
        <w:right w:val="none" w:sz="0" w:space="0" w:color="auto"/>
      </w:divBdr>
    </w:div>
    <w:div w:id="1736053588">
      <w:bodyDiv w:val="1"/>
      <w:marLeft w:val="0"/>
      <w:marRight w:val="0"/>
      <w:marTop w:val="0"/>
      <w:marBottom w:val="0"/>
      <w:divBdr>
        <w:top w:val="none" w:sz="0" w:space="0" w:color="auto"/>
        <w:left w:val="none" w:sz="0" w:space="0" w:color="auto"/>
        <w:bottom w:val="none" w:sz="0" w:space="0" w:color="auto"/>
        <w:right w:val="none" w:sz="0" w:space="0" w:color="auto"/>
      </w:divBdr>
    </w:div>
    <w:div w:id="1913461916">
      <w:bodyDiv w:val="1"/>
      <w:marLeft w:val="0"/>
      <w:marRight w:val="0"/>
      <w:marTop w:val="0"/>
      <w:marBottom w:val="0"/>
      <w:divBdr>
        <w:top w:val="none" w:sz="0" w:space="0" w:color="auto"/>
        <w:left w:val="none" w:sz="0" w:space="0" w:color="auto"/>
        <w:bottom w:val="none" w:sz="0" w:space="0" w:color="auto"/>
        <w:right w:val="none" w:sz="0" w:space="0" w:color="auto"/>
      </w:divBdr>
    </w:div>
    <w:div w:id="1955405950">
      <w:bodyDiv w:val="1"/>
      <w:marLeft w:val="0"/>
      <w:marRight w:val="0"/>
      <w:marTop w:val="0"/>
      <w:marBottom w:val="0"/>
      <w:divBdr>
        <w:top w:val="none" w:sz="0" w:space="0" w:color="auto"/>
        <w:left w:val="none" w:sz="0" w:space="0" w:color="auto"/>
        <w:bottom w:val="none" w:sz="0" w:space="0" w:color="auto"/>
        <w:right w:val="none" w:sz="0" w:space="0" w:color="auto"/>
      </w:divBdr>
    </w:div>
    <w:div w:id="2056653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news.wko.at/r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uroparl.europa.eu/doceo/document/A-8-2019-0029_DE.html?redirec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6E661-ADCD-4CC5-907F-E6F8C1EE8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1610</Words>
  <Characters>10148</Characters>
  <Application>Microsoft Office Word</Application>
  <DocSecurity>0</DocSecurity>
  <Lines>84</Lines>
  <Paragraphs>23</Paragraphs>
  <ScaleCrop>false</ScaleCrop>
  <HeadingPairs>
    <vt:vector size="2" baseType="variant">
      <vt:variant>
        <vt:lpstr>Titel</vt:lpstr>
      </vt:variant>
      <vt:variant>
        <vt:i4>1</vt:i4>
      </vt:variant>
    </vt:vector>
  </HeadingPairs>
  <TitlesOfParts>
    <vt:vector size="1" baseType="lpstr">
      <vt:lpstr/>
    </vt:vector>
  </TitlesOfParts>
  <Company>WKO Inhouse GmbH</Company>
  <LinksUpToDate>false</LinksUpToDate>
  <CharactersWithSpaces>11735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Ursula Gortan</dc:creator>
  <cp:lastModifiedBy>Marion Witting</cp:lastModifiedBy>
  <cp:revision>2</cp:revision>
  <cp:lastPrinted>2019-04-03T10:25:00Z</cp:lastPrinted>
  <dcterms:created xsi:type="dcterms:W3CDTF">2019-04-09T08:57:00Z</dcterms:created>
  <dcterms:modified xsi:type="dcterms:W3CDTF">2019-04-09T08:57:00Z</dcterms:modified>
</cp:coreProperties>
</file>