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jc w:val="center"/>
        <w:rPr>
          <w:b/>
          <w:bCs/>
          <w:sz w:val="32"/>
          <w:szCs w:val="28"/>
        </w:rPr>
      </w:pPr>
      <w:r>
        <w:rPr>
          <w:b/>
          <w:sz w:val="32"/>
        </w:rPr>
        <w:t xml:space="preserve">Príloha </w:t>
      </w:r>
    </w:p>
    <w:p w14:paraId="1165C02A" w14:textId="45EF0D09" w:rsidR="00CB6F0B" w:rsidRPr="00CB6F0B" w:rsidRDefault="00CB6F0B" w:rsidP="00CB6F0B">
      <w:pPr>
        <w:jc w:val="center"/>
        <w:rPr>
          <w:b/>
          <w:bCs/>
        </w:rPr>
      </w:pPr>
      <w:r>
        <w:rPr>
          <w:b/>
        </w:rPr>
        <w:t>k</w:t>
      </w:r>
    </w:p>
    <w:p w14:paraId="02C43401" w14:textId="312DEC79" w:rsidR="00CB6F0B" w:rsidRPr="00CB6F0B" w:rsidRDefault="00CB6F0B" w:rsidP="00CB6F0B">
      <w:pPr>
        <w:jc w:val="center"/>
        <w:rPr>
          <w:b/>
          <w:bCs/>
        </w:rPr>
      </w:pPr>
      <w:r>
        <w:rPr>
          <w:b/>
        </w:rPr>
        <w:t>smernici na zabezpečenie zdravotných požiadaviek na osoby manipulujúce s potravinami</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r>
        <w:t xml:space="preserve">Firma </w:t>
      </w:r>
    </w:p>
    <w:p w14:paraId="2E2018B2" w14:textId="77777777" w:rsidR="00CB6F0B" w:rsidRDefault="00CB6F0B" w:rsidP="0048638B"/>
    <w:p w14:paraId="7D90B4DA" w14:textId="799984AC" w:rsidR="00CB6F0B" w:rsidRDefault="00CB6F0B" w:rsidP="00CB6F0B">
      <w:pPr>
        <w:tabs>
          <w:tab w:val="left" w:leader="dot" w:pos="8505"/>
        </w:tabs>
      </w:pPr>
      <w:r>
        <w:tab/>
      </w:r>
      <w:r>
        <w:br/>
      </w:r>
    </w:p>
    <w:p w14:paraId="049DEF46" w14:textId="46BD7602" w:rsidR="00CB6F0B" w:rsidRDefault="00CB6F0B" w:rsidP="00CB6F0B">
      <w:pPr>
        <w:tabs>
          <w:tab w:val="left" w:leader="dot" w:pos="8505"/>
        </w:tabs>
      </w:pPr>
      <w:r>
        <w:tab/>
      </w:r>
      <w:r>
        <w:br/>
      </w:r>
      <w:r>
        <w:br/>
      </w:r>
      <w:r>
        <w:tab/>
      </w:r>
    </w:p>
    <w:p w14:paraId="45F27DB0" w14:textId="6E4F520B" w:rsidR="00CB6F0B" w:rsidRDefault="00CB6F0B" w:rsidP="00CB6F0B">
      <w:pPr>
        <w:jc w:val="center"/>
      </w:pPr>
      <w:r>
        <w:t>(obchodný názov spoločnosti) (adresa)</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r>
        <w:t xml:space="preserve">Poučená osoba </w:t>
      </w:r>
    </w:p>
    <w:p w14:paraId="73978065" w14:textId="77777777" w:rsidR="00CB6F0B" w:rsidRDefault="00CB6F0B" w:rsidP="0048638B"/>
    <w:p w14:paraId="3C294579" w14:textId="492F5FE0" w:rsidR="00CB6F0B" w:rsidRDefault="00CB6F0B" w:rsidP="00CB6F0B">
      <w:pPr>
        <w:tabs>
          <w:tab w:val="left" w:leader="dot" w:pos="8505"/>
        </w:tabs>
      </w:pPr>
      <w:r>
        <w:tab/>
      </w:r>
    </w:p>
    <w:p w14:paraId="5E775D4F" w14:textId="397DE825" w:rsidR="0048638B" w:rsidRDefault="0048638B" w:rsidP="00CB6F0B">
      <w:pPr>
        <w:jc w:val="center"/>
      </w:pPr>
      <w:r>
        <w:t>(meno, dátum narodenia)</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ind w:left="284" w:hanging="284"/>
        <w:rPr>
          <w:b/>
          <w:bCs/>
        </w:rPr>
      </w:pPr>
      <w:r>
        <w:rPr>
          <w:b/>
        </w:rPr>
        <w:t xml:space="preserve">Hlásenie nadriadenej osobe </w:t>
      </w:r>
      <w:r>
        <w:rPr>
          <w:b/>
        </w:rPr>
        <w:br/>
      </w:r>
      <w:r>
        <w:rPr>
          <w:b/>
        </w:rPr>
        <w:br/>
      </w:r>
      <w:r>
        <w:t xml:space="preserve">Podnikateľovi alebo ním poverenej osobe musíte bezodkladne oznámiť, ak: </w:t>
      </w:r>
      <w:r>
        <w:br/>
      </w:r>
    </w:p>
    <w:p w14:paraId="67F64F80" w14:textId="77777777" w:rsidR="0048638B" w:rsidRDefault="0048638B" w:rsidP="0048638B">
      <w:pPr>
        <w:pStyle w:val="Listenabsatz"/>
        <w:numPr>
          <w:ilvl w:val="1"/>
          <w:numId w:val="1"/>
        </w:numPr>
        <w:tabs>
          <w:tab w:val="left" w:pos="851"/>
        </w:tabs>
        <w:ind w:left="851" w:hanging="567"/>
      </w:pPr>
      <w:r>
        <w:t>si na sebe všimnete alebo ste si všimli nasledujúce príznaky choroby:</w:t>
      </w:r>
    </w:p>
    <w:p w14:paraId="333217F2" w14:textId="77777777" w:rsidR="0048638B" w:rsidRDefault="0048638B" w:rsidP="0048638B">
      <w:pPr>
        <w:pStyle w:val="Listenabsatz"/>
        <w:numPr>
          <w:ilvl w:val="0"/>
          <w:numId w:val="5"/>
        </w:numPr>
        <w:tabs>
          <w:tab w:val="left" w:pos="851"/>
        </w:tabs>
        <w:ind w:left="1276"/>
      </w:pPr>
      <w:r>
        <w:t xml:space="preserve">hnačku (spojenú prípadne s nevoľnosťou, vracaním, horúčkou alebo kŕčmi v bruchu – podozrenie na bakteriálnu alebo vírusovú otravu jedlom); </w:t>
      </w:r>
    </w:p>
    <w:p w14:paraId="6F15CBF0" w14:textId="77777777" w:rsidR="0048638B" w:rsidRDefault="0048638B" w:rsidP="0048638B">
      <w:pPr>
        <w:pStyle w:val="Listenabsatz"/>
        <w:numPr>
          <w:ilvl w:val="0"/>
          <w:numId w:val="5"/>
        </w:numPr>
        <w:tabs>
          <w:tab w:val="left" w:pos="851"/>
        </w:tabs>
        <w:ind w:left="1276"/>
      </w:pPr>
      <w:r>
        <w:t>vracanie a/alebo hnačku (podozrenie na norovírusy – gastroenteritídu);</w:t>
      </w:r>
    </w:p>
    <w:p w14:paraId="190F1FA2" w14:textId="77777777" w:rsidR="0048638B" w:rsidRDefault="0048638B" w:rsidP="0048638B">
      <w:pPr>
        <w:pStyle w:val="Listenabsatz"/>
        <w:numPr>
          <w:ilvl w:val="0"/>
          <w:numId w:val="5"/>
        </w:numPr>
        <w:tabs>
          <w:tab w:val="left" w:pos="851"/>
        </w:tabs>
        <w:ind w:left="1276"/>
      </w:pPr>
      <w:r>
        <w:t>vysokú horúčku s bolesťami brucha a kĺbov, pričom po niekoľkých dňoch zápchy sa objaví hnačka podobná „hrachovej kaši“ (podozrenie na týfus alebo paratýfus);</w:t>
      </w:r>
    </w:p>
    <w:p w14:paraId="23A3C442" w14:textId="77777777" w:rsidR="0048638B" w:rsidRDefault="0048638B" w:rsidP="0048638B">
      <w:pPr>
        <w:pStyle w:val="Listenabsatz"/>
        <w:numPr>
          <w:ilvl w:val="0"/>
          <w:numId w:val="5"/>
        </w:numPr>
        <w:tabs>
          <w:tab w:val="left" w:pos="851"/>
        </w:tabs>
        <w:ind w:left="1276"/>
      </w:pPr>
      <w:r>
        <w:t xml:space="preserve">hnačky podobné „ryžovej vode“ (mierne zakalená, takmer bezfarebná kvapalina s malými vločkami hlienu) s vysokou stratou tekutín (podozrenie na choleru); </w:t>
      </w:r>
      <w:r>
        <w:sym w:font="Symbol" w:char="F0B7"/>
      </w:r>
      <w:r>
        <w:t xml:space="preserve"> zožltnutie očí a/alebo pokožky spojené so slabosťou a stratou chuti do jedla (podozrenie na hepatitídu A alebo E); </w:t>
      </w:r>
    </w:p>
    <w:p w14:paraId="7D01EFA5" w14:textId="77777777" w:rsidR="0048638B" w:rsidRDefault="0048638B" w:rsidP="0048638B">
      <w:pPr>
        <w:pStyle w:val="Listenabsatz"/>
        <w:numPr>
          <w:ilvl w:val="0"/>
          <w:numId w:val="5"/>
        </w:numPr>
        <w:tabs>
          <w:tab w:val="left" w:pos="851"/>
        </w:tabs>
        <w:ind w:left="1276"/>
      </w:pPr>
      <w:r>
        <w:t xml:space="preserve">infikované rany alebo otvorené miesta pri kožných ochoreniach (sčervenané, s mazľavým povlakom, mokvavé alebo opuchnuté);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ind w:left="851" w:hanging="567"/>
      </w:pPr>
      <w:r>
        <w:t xml:space="preserve">je k dispozícii lekárska diagnóza alebo laboratórny výsledok týkajúci sa vylučovania nasledujúcich patogénov, aj keď príznaky ochorenia chýbajú: </w:t>
      </w:r>
    </w:p>
    <w:p w14:paraId="7C6B31E5" w14:textId="77777777" w:rsidR="0048638B" w:rsidRDefault="0048638B" w:rsidP="0048638B">
      <w:pPr>
        <w:pStyle w:val="Listenabsatz"/>
        <w:numPr>
          <w:ilvl w:val="0"/>
          <w:numId w:val="5"/>
        </w:numPr>
        <w:tabs>
          <w:tab w:val="left" w:pos="851"/>
        </w:tabs>
        <w:ind w:left="1276"/>
      </w:pPr>
      <w:r>
        <w:t>Kampylobaktery</w:t>
      </w:r>
    </w:p>
    <w:p w14:paraId="0CCB1D97" w14:textId="77777777" w:rsidR="0048638B" w:rsidRDefault="0048638B" w:rsidP="0048638B">
      <w:pPr>
        <w:pStyle w:val="Listenabsatz"/>
        <w:numPr>
          <w:ilvl w:val="0"/>
          <w:numId w:val="5"/>
        </w:numPr>
        <w:tabs>
          <w:tab w:val="left" w:pos="851"/>
        </w:tabs>
        <w:ind w:left="1276"/>
      </w:pPr>
      <w:r>
        <w:t>Enterovírusy</w:t>
      </w:r>
    </w:p>
    <w:p w14:paraId="17448CD8" w14:textId="77777777" w:rsidR="0048638B" w:rsidRDefault="0048638B" w:rsidP="0048638B">
      <w:pPr>
        <w:pStyle w:val="Listenabsatz"/>
        <w:numPr>
          <w:ilvl w:val="0"/>
          <w:numId w:val="5"/>
        </w:numPr>
        <w:tabs>
          <w:tab w:val="left" w:pos="851"/>
        </w:tabs>
        <w:ind w:left="1276"/>
      </w:pPr>
      <w:r>
        <w:t>Pôvodcovia amébovej dyzentérie</w:t>
      </w:r>
    </w:p>
    <w:p w14:paraId="382D0801" w14:textId="77777777" w:rsidR="0048638B" w:rsidRPr="00CB6F0B" w:rsidRDefault="0048638B" w:rsidP="0048638B">
      <w:pPr>
        <w:pStyle w:val="Listenabsatz"/>
        <w:numPr>
          <w:ilvl w:val="0"/>
          <w:numId w:val="5"/>
        </w:numPr>
        <w:tabs>
          <w:tab w:val="left" w:pos="851"/>
        </w:tabs>
        <w:ind w:left="1276"/>
        <w:rPr>
          <w:i/>
          <w:iCs/>
        </w:rPr>
      </w:pPr>
      <w:r>
        <w:rPr>
          <w:i/>
        </w:rPr>
        <w:t>Escherichia coli, produkujúce toxíny</w:t>
      </w:r>
    </w:p>
    <w:p w14:paraId="24AB1DEC" w14:textId="77777777" w:rsidR="0048638B" w:rsidRDefault="0048638B" w:rsidP="0048638B">
      <w:pPr>
        <w:pStyle w:val="Listenabsatz"/>
        <w:numPr>
          <w:ilvl w:val="0"/>
          <w:numId w:val="5"/>
        </w:numPr>
        <w:tabs>
          <w:tab w:val="left" w:pos="851"/>
        </w:tabs>
        <w:ind w:left="1276"/>
      </w:pPr>
      <w:r>
        <w:t>Vírusy hepatitídy A alebo E</w:t>
      </w:r>
    </w:p>
    <w:p w14:paraId="548B5646" w14:textId="77777777" w:rsidR="0048638B" w:rsidRPr="00CB6F0B" w:rsidRDefault="0048638B" w:rsidP="0048638B">
      <w:pPr>
        <w:pStyle w:val="Listenabsatz"/>
        <w:numPr>
          <w:ilvl w:val="0"/>
          <w:numId w:val="5"/>
        </w:numPr>
        <w:tabs>
          <w:tab w:val="left" w:pos="851"/>
        </w:tabs>
        <w:ind w:left="1276"/>
        <w:rPr>
          <w:i/>
          <w:iCs/>
        </w:rPr>
      </w:pPr>
      <w:r>
        <w:rPr>
          <w:i/>
        </w:rPr>
        <w:t>Listeria monocytogenes</w:t>
      </w:r>
    </w:p>
    <w:p w14:paraId="42E4EDFD" w14:textId="52C1168F" w:rsidR="00E736C4" w:rsidRPr="0048638B" w:rsidRDefault="0048638B" w:rsidP="0048638B">
      <w:pPr>
        <w:pStyle w:val="Listenabsatz"/>
        <w:numPr>
          <w:ilvl w:val="0"/>
          <w:numId w:val="5"/>
        </w:numPr>
        <w:tabs>
          <w:tab w:val="left" w:pos="851"/>
        </w:tabs>
        <w:ind w:left="1276"/>
      </w:pPr>
      <w:r>
        <w:t>Norovírusy</w:t>
      </w:r>
    </w:p>
    <w:p w14:paraId="299C1EE9" w14:textId="77777777" w:rsidR="0048638B" w:rsidRDefault="0048638B" w:rsidP="0048638B">
      <w:pPr>
        <w:pStyle w:val="Listenabsatz"/>
        <w:numPr>
          <w:ilvl w:val="0"/>
          <w:numId w:val="5"/>
        </w:numPr>
        <w:tabs>
          <w:tab w:val="left" w:pos="851"/>
        </w:tabs>
        <w:ind w:left="1276"/>
      </w:pPr>
      <w:r>
        <w:t xml:space="preserve">Roravírusy </w:t>
      </w:r>
    </w:p>
    <w:p w14:paraId="5E3F7F57" w14:textId="77777777" w:rsidR="0048638B" w:rsidRDefault="0048638B" w:rsidP="0048638B">
      <w:pPr>
        <w:pStyle w:val="Listenabsatz"/>
        <w:numPr>
          <w:ilvl w:val="0"/>
          <w:numId w:val="5"/>
        </w:numPr>
        <w:tabs>
          <w:tab w:val="left" w:pos="851"/>
        </w:tabs>
        <w:ind w:left="1276"/>
      </w:pPr>
      <w:r>
        <w:t>Salmonely</w:t>
      </w:r>
    </w:p>
    <w:p w14:paraId="194802A5" w14:textId="77777777" w:rsidR="0048638B" w:rsidRDefault="0048638B" w:rsidP="0048638B">
      <w:pPr>
        <w:pStyle w:val="Listenabsatz"/>
        <w:numPr>
          <w:ilvl w:val="0"/>
          <w:numId w:val="5"/>
        </w:numPr>
        <w:tabs>
          <w:tab w:val="left" w:pos="851"/>
        </w:tabs>
        <w:ind w:left="1276"/>
      </w:pPr>
      <w:r>
        <w:t>Shigelly</w:t>
      </w:r>
    </w:p>
    <w:p w14:paraId="4C0A525B" w14:textId="77777777" w:rsidR="0048638B" w:rsidRPr="00CB6F0B" w:rsidRDefault="0048638B" w:rsidP="0048638B">
      <w:pPr>
        <w:pStyle w:val="Listenabsatz"/>
        <w:numPr>
          <w:ilvl w:val="0"/>
          <w:numId w:val="5"/>
        </w:numPr>
        <w:tabs>
          <w:tab w:val="left" w:pos="851"/>
        </w:tabs>
        <w:ind w:left="1276"/>
        <w:rPr>
          <w:i/>
          <w:iCs/>
        </w:rPr>
      </w:pPr>
      <w:r>
        <w:rPr>
          <w:i/>
        </w:rPr>
        <w:lastRenderedPageBreak/>
        <w:t xml:space="preserve">Staphylococcus aureus, produkujúce toxíny </w:t>
      </w:r>
    </w:p>
    <w:p w14:paraId="213B4BAE" w14:textId="77777777" w:rsidR="0048638B" w:rsidRDefault="0048638B" w:rsidP="0048638B">
      <w:pPr>
        <w:pStyle w:val="Listenabsatz"/>
        <w:numPr>
          <w:ilvl w:val="0"/>
          <w:numId w:val="5"/>
        </w:numPr>
        <w:tabs>
          <w:tab w:val="left" w:pos="851"/>
        </w:tabs>
        <w:ind w:left="1276"/>
      </w:pPr>
      <w:r>
        <w:rPr>
          <w:i/>
        </w:rPr>
        <w:t>Vibrio cholerae alebo parahaemolyticus</w:t>
      </w:r>
      <w:r>
        <w:t xml:space="preserve"> </w:t>
      </w:r>
    </w:p>
    <w:p w14:paraId="3AD0D4F7" w14:textId="77777777" w:rsidR="0048638B" w:rsidRDefault="0048638B" w:rsidP="0048638B">
      <w:pPr>
        <w:pStyle w:val="Listenabsatz"/>
        <w:numPr>
          <w:ilvl w:val="0"/>
          <w:numId w:val="5"/>
        </w:numPr>
        <w:tabs>
          <w:tab w:val="left" w:pos="851"/>
        </w:tabs>
        <w:ind w:left="1276"/>
      </w:pPr>
      <w:r>
        <w:t xml:space="preserve">Yersinie, patogénne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pPr>
      <w:r>
        <w:t xml:space="preserve">Upozornenie: Aj po odznení príznakov ochorenia môže dochádzať k vylučovaniu určitých patogénov. </w:t>
      </w:r>
      <w:r>
        <w:br/>
      </w:r>
      <w:r>
        <w:br/>
        <w:t xml:space="preserve">Hlásenie je potrebné, pretože patogény uvedené vyššie sa môžu preniesť do potravín a následne môžu spôsobiť ochorenie spotrebiteľov.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ind w:left="284" w:hanging="284"/>
        <w:rPr>
          <w:b/>
          <w:bCs/>
        </w:rPr>
      </w:pPr>
      <w:r>
        <w:rPr>
          <w:b/>
        </w:rPr>
        <w:t xml:space="preserve">Vyhlásenie poučenej osoby </w:t>
      </w:r>
      <w:r>
        <w:rPr>
          <w:b/>
        </w:rPr>
        <w:br/>
      </w:r>
      <w:r>
        <w:rPr>
          <w:b/>
        </w:rPr>
        <w:br/>
      </w:r>
      <w:r>
        <w:t>Vyhlasujem, že v prípade ochorenia s príznakmi podľa bodu 1a alebo ak bude stanovená lekárska diagnóza podľa bodu 1b, budem o tom bezodkladne informovať svojho nadriadeného alebo zamestnávateľa.</w:t>
      </w:r>
      <w:r>
        <w:br/>
      </w:r>
      <w:r>
        <w:br/>
      </w:r>
    </w:p>
    <w:p w14:paraId="1D9AB9A5" w14:textId="11A450F4" w:rsidR="00CB6F0B" w:rsidRDefault="00CB6F0B" w:rsidP="00CB6F0B">
      <w:pPr>
        <w:pStyle w:val="Listenabsatz"/>
        <w:tabs>
          <w:tab w:val="left" w:leader="dot" w:pos="3402"/>
          <w:tab w:val="left" w:pos="3969"/>
          <w:tab w:val="left" w:leader="dot" w:pos="8505"/>
        </w:tabs>
        <w:ind w:left="0"/>
      </w:pPr>
      <w:r>
        <w:br/>
      </w:r>
      <w:r>
        <w:br/>
      </w:r>
      <w:r>
        <w:tab/>
      </w:r>
      <w:r>
        <w:tab/>
      </w:r>
      <w:r>
        <w:tab/>
      </w:r>
    </w:p>
    <w:p w14:paraId="0677EE99" w14:textId="7011ADE8" w:rsidR="00CB6F0B" w:rsidRDefault="00CB6F0B" w:rsidP="00CB6F0B">
      <w:pPr>
        <w:pStyle w:val="Listenabsatz"/>
        <w:tabs>
          <w:tab w:val="center" w:pos="1701"/>
          <w:tab w:val="center" w:pos="6237"/>
        </w:tabs>
      </w:pPr>
      <w:r>
        <w:tab/>
        <w:t>Dátum</w:t>
      </w:r>
      <w:r>
        <w:tab/>
        <w:t>Podpis</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ind w:left="0"/>
        <w:rPr>
          <w:i/>
          <w:iCs/>
        </w:rPr>
      </w:pPr>
      <w:r>
        <w:rPr>
          <w:i/>
        </w:rPr>
        <w:t>Kópia tohto poučenia vrátane smernice na zabezpečenie zdravotných požiadaviek na osoby manipulujúce s potravinami bude zaslaná zamestnancovi.</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186F"/>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2258"/>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sk-SK"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sk-SK"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sk-SK"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sk-SK"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sk-SK" w:eastAsia="de-DE"/>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sk-SK" w:eastAsia="de-DE"/>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sk-SK" w:eastAsia="de-DE"/>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sk-SK" w:eastAsia="de-DE"/>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sk-SK" w:eastAsia="de-DE"/>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sk-SK" w:eastAsia="de-DE"/>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sk-SK" w:eastAsia="de-DE"/>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sk-SK" w:eastAsia="de-DE"/>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sk-SK" w:eastAsia="de-DE"/>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hAnsi="Trebuchet MS" w:cs="Times New Roman"/>
      <w:i/>
      <w:iCs/>
      <w:color w:val="404040" w:themeColor="text1" w:themeTint="BF"/>
      <w:szCs w:val="20"/>
      <w:lang w:val="sk-SK" w:eastAsia="de-DE"/>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hAnsi="Trebuchet MS" w:cs="Times New Roman"/>
      <w:i/>
      <w:iCs/>
      <w:color w:val="A5A5A5" w:themeColor="accent1" w:themeShade="BF"/>
      <w:szCs w:val="20"/>
      <w:lang w:val="sk-SK" w:eastAsia="de-DE"/>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4</cp:revision>
  <dcterms:created xsi:type="dcterms:W3CDTF">2025-02-04T14:22:00Z</dcterms:created>
  <dcterms:modified xsi:type="dcterms:W3CDTF">2025-02-19T13:21:00Z</dcterms:modified>
</cp:coreProperties>
</file>