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E3" w:rsidRDefault="000A1488">
      <w:pPr>
        <w:pStyle w:val="Textkrper"/>
        <w:rPr>
          <w:rFonts w:ascii="Times New Roman"/>
          <w:i w:val="0"/>
        </w:rPr>
      </w:pPr>
      <w:bookmarkStart w:id="0" w:name="_GoBack"/>
      <w:bookmarkEnd w:id="0"/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148590</wp:posOffset>
                </wp:positionH>
                <wp:positionV relativeFrom="page">
                  <wp:posOffset>0</wp:posOffset>
                </wp:positionV>
                <wp:extent cx="118110" cy="10692130"/>
                <wp:effectExtent l="0" t="0" r="0" b="44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0692130"/>
                        </a:xfrm>
                        <a:prstGeom prst="rect">
                          <a:avLst/>
                        </a:prstGeom>
                        <a:solidFill>
                          <a:srgbClr val="2558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4B35A" id="Rectangle 2" o:spid="_x0000_s1026" style="position:absolute;margin-left:11.7pt;margin-top:0;width:9.3pt;height:84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" fillcolor="#255830" stroked="f">
                <w10:wrap anchorx="page" anchory="page"/>
              </v:rect>
            </w:pict>
          </mc:Fallback>
        </mc:AlternateContent>
      </w:r>
    </w:p>
    <w:p w:rsidR="004424E3" w:rsidRDefault="004424E3">
      <w:pPr>
        <w:pStyle w:val="Textkrper"/>
        <w:spacing w:before="10"/>
        <w:rPr>
          <w:rFonts w:ascii="Times New Roman"/>
          <w:i w:val="0"/>
          <w:sz w:val="19"/>
        </w:rPr>
      </w:pPr>
    </w:p>
    <w:p w:rsidR="004424E3" w:rsidRDefault="00AF7B2B">
      <w:pPr>
        <w:pStyle w:val="Textkrper"/>
        <w:ind w:left="7774"/>
        <w:rPr>
          <w:rFonts w:ascii="Times New Roman"/>
          <w:i w:val="0"/>
        </w:rPr>
      </w:pPr>
      <w:r>
        <w:rPr>
          <w:rFonts w:ascii="Times New Roman"/>
          <w:i w:val="0"/>
          <w:noProof/>
          <w:lang w:val="de-AT" w:eastAsia="de-AT"/>
        </w:rPr>
        <w:drawing>
          <wp:inline distT="0" distB="0" distL="0" distR="0">
            <wp:extent cx="2150954" cy="8884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954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4E3" w:rsidRDefault="004424E3">
      <w:pPr>
        <w:pStyle w:val="Textkrper"/>
        <w:rPr>
          <w:rFonts w:ascii="Times New Roman"/>
          <w:i w:val="0"/>
        </w:rPr>
      </w:pPr>
    </w:p>
    <w:p w:rsidR="004424E3" w:rsidRDefault="004424E3">
      <w:pPr>
        <w:pStyle w:val="Textkrper"/>
        <w:rPr>
          <w:rFonts w:ascii="Times New Roman"/>
          <w:i w:val="0"/>
        </w:rPr>
      </w:pPr>
    </w:p>
    <w:p w:rsidR="004424E3" w:rsidRDefault="004424E3">
      <w:pPr>
        <w:pStyle w:val="Textkrper"/>
        <w:rPr>
          <w:rFonts w:ascii="Times New Roman"/>
          <w:i w:val="0"/>
        </w:rPr>
      </w:pPr>
    </w:p>
    <w:p w:rsidR="004424E3" w:rsidRDefault="004424E3">
      <w:pPr>
        <w:pStyle w:val="Textkrper"/>
        <w:rPr>
          <w:rFonts w:ascii="Times New Roman"/>
          <w:i w:val="0"/>
        </w:rPr>
      </w:pPr>
    </w:p>
    <w:p w:rsidR="004424E3" w:rsidRDefault="004424E3">
      <w:pPr>
        <w:pStyle w:val="Textkrper"/>
        <w:rPr>
          <w:rFonts w:ascii="Times New Roman"/>
          <w:i w:val="0"/>
        </w:rPr>
      </w:pPr>
    </w:p>
    <w:p w:rsidR="004424E3" w:rsidRDefault="004424E3">
      <w:pPr>
        <w:pStyle w:val="Textkrper"/>
        <w:rPr>
          <w:rFonts w:ascii="Times New Roman"/>
          <w:i w:val="0"/>
        </w:rPr>
      </w:pPr>
    </w:p>
    <w:p w:rsidR="004424E3" w:rsidRDefault="004424E3">
      <w:pPr>
        <w:pStyle w:val="Textkrper"/>
        <w:rPr>
          <w:rFonts w:ascii="Times New Roman"/>
          <w:i w:val="0"/>
        </w:rPr>
      </w:pPr>
    </w:p>
    <w:p w:rsidR="004424E3" w:rsidRDefault="004424E3">
      <w:pPr>
        <w:pStyle w:val="Textkrper"/>
        <w:rPr>
          <w:rFonts w:ascii="Times New Roman"/>
          <w:i w:val="0"/>
        </w:rPr>
      </w:pPr>
    </w:p>
    <w:p w:rsidR="004424E3" w:rsidRDefault="00AF7B2B">
      <w:pPr>
        <w:spacing w:before="259"/>
        <w:ind w:left="3119" w:right="1606"/>
        <w:jc w:val="center"/>
        <w:rPr>
          <w:rFonts w:ascii="Trebuchet MS" w:hAnsi="Trebuchet MS"/>
          <w:i/>
          <w:sz w:val="48"/>
        </w:rPr>
      </w:pPr>
      <w:r>
        <w:rPr>
          <w:rFonts w:ascii="Trebuchet MS" w:hAnsi="Trebuchet MS"/>
          <w:i/>
          <w:sz w:val="48"/>
        </w:rPr>
        <w:t>Ausfüllhilfe</w:t>
      </w:r>
    </w:p>
    <w:p w:rsidR="004424E3" w:rsidRDefault="00AF7B2B">
      <w:pPr>
        <w:spacing w:before="62"/>
        <w:ind w:left="3120" w:right="1606"/>
        <w:jc w:val="center"/>
        <w:rPr>
          <w:rFonts w:ascii="Trebuchet MS"/>
          <w:i/>
          <w:sz w:val="36"/>
        </w:rPr>
      </w:pPr>
      <w:r>
        <w:rPr>
          <w:rFonts w:ascii="Trebuchet MS"/>
          <w:i/>
          <w:sz w:val="36"/>
        </w:rPr>
        <w:t>zum</w:t>
      </w:r>
    </w:p>
    <w:p w:rsidR="004424E3" w:rsidRDefault="00AF7B2B">
      <w:pPr>
        <w:spacing w:before="14"/>
        <w:ind w:left="3121" w:right="1606"/>
        <w:jc w:val="center"/>
        <w:rPr>
          <w:rFonts w:ascii="Trebuchet MS"/>
          <w:sz w:val="48"/>
        </w:rPr>
      </w:pPr>
      <w:r>
        <w:rPr>
          <w:rFonts w:ascii="Trebuchet MS"/>
          <w:sz w:val="48"/>
        </w:rPr>
        <w:t>Datenverarbeitungsverzeichnis</w:t>
      </w:r>
    </w:p>
    <w:p w:rsidR="004424E3" w:rsidRDefault="00AF7B2B">
      <w:pPr>
        <w:pStyle w:val="berschrift1"/>
        <w:spacing w:before="64" w:line="259" w:lineRule="auto"/>
        <w:ind w:left="3121" w:right="1596"/>
        <w:jc w:val="center"/>
      </w:pPr>
      <w:bookmarkStart w:id="1" w:name="nach_Art_30_Abs_1_Datenschutz-_Grundvero"/>
      <w:bookmarkEnd w:id="1"/>
      <w:r>
        <w:t>nach Art 30 Abs 1 Datenschutz- Grundverordnung (DSGVO)</w:t>
      </w:r>
    </w:p>
    <w:p w:rsidR="004424E3" w:rsidRDefault="004424E3">
      <w:pPr>
        <w:pStyle w:val="Textkrper"/>
        <w:rPr>
          <w:rFonts w:ascii="Trebuchet MS"/>
          <w:i w:val="0"/>
          <w:sz w:val="42"/>
        </w:rPr>
      </w:pPr>
    </w:p>
    <w:p w:rsidR="004424E3" w:rsidRDefault="004424E3">
      <w:pPr>
        <w:pStyle w:val="Textkrper"/>
        <w:rPr>
          <w:rFonts w:ascii="Trebuchet MS"/>
          <w:i w:val="0"/>
          <w:sz w:val="42"/>
        </w:rPr>
      </w:pPr>
    </w:p>
    <w:p w:rsidR="004424E3" w:rsidRDefault="004424E3">
      <w:pPr>
        <w:pStyle w:val="Textkrper"/>
        <w:spacing w:before="10"/>
        <w:rPr>
          <w:rFonts w:ascii="Trebuchet MS"/>
          <w:i w:val="0"/>
          <w:sz w:val="44"/>
        </w:rPr>
      </w:pPr>
    </w:p>
    <w:p w:rsidR="004424E3" w:rsidRDefault="00AF7B2B">
      <w:pPr>
        <w:pStyle w:val="Textkrper"/>
        <w:ind w:left="1159" w:right="207"/>
      </w:pPr>
      <w:r>
        <w:t xml:space="preserve">Zu jeder Überschrift des Musters enthält diese Ausfüllhilfe eine kurze Erläuterung, die zur besseren Unterscheidung in Kursiv </w:t>
      </w:r>
      <w:r>
        <w:t>gedruckt ist.</w:t>
      </w:r>
    </w:p>
    <w:p w:rsidR="004424E3" w:rsidRDefault="004424E3">
      <w:pPr>
        <w:pStyle w:val="Textkrper"/>
      </w:pPr>
    </w:p>
    <w:p w:rsidR="004424E3" w:rsidRDefault="004424E3">
      <w:pPr>
        <w:pStyle w:val="Textkrper"/>
      </w:pPr>
    </w:p>
    <w:p w:rsidR="004424E3" w:rsidRDefault="004424E3">
      <w:pPr>
        <w:pStyle w:val="Textkrper"/>
      </w:pPr>
    </w:p>
    <w:p w:rsidR="004424E3" w:rsidRDefault="004424E3">
      <w:pPr>
        <w:pStyle w:val="Textkrper"/>
      </w:pPr>
    </w:p>
    <w:p w:rsidR="004424E3" w:rsidRDefault="004424E3">
      <w:pPr>
        <w:pStyle w:val="Textkrper"/>
      </w:pPr>
    </w:p>
    <w:p w:rsidR="004424E3" w:rsidRDefault="004424E3">
      <w:pPr>
        <w:pStyle w:val="Textkrper"/>
        <w:spacing w:before="2"/>
        <w:rPr>
          <w:sz w:val="26"/>
        </w:rPr>
      </w:pPr>
    </w:p>
    <w:p w:rsidR="004424E3" w:rsidRDefault="00AF7B2B">
      <w:pPr>
        <w:pStyle w:val="berschrift1"/>
        <w:spacing w:before="0"/>
        <w:ind w:left="1159"/>
      </w:pPr>
      <w:bookmarkStart w:id="2" w:name="Deckblatt"/>
      <w:bookmarkEnd w:id="2"/>
      <w:r>
        <w:t>Deckblatt</w:t>
      </w:r>
    </w:p>
    <w:p w:rsidR="004424E3" w:rsidRDefault="00AF7B2B">
      <w:pPr>
        <w:pStyle w:val="Textkrper"/>
        <w:spacing w:before="226"/>
        <w:ind w:left="1159"/>
      </w:pPr>
      <w:r>
        <w:t>Das Deckblatt dient als Übersicht/Inhaltsverzeichnis und hat keine selbstständige rechtliche Bedeutung.</w:t>
      </w:r>
    </w:p>
    <w:p w:rsidR="004424E3" w:rsidRDefault="00AF7B2B">
      <w:pPr>
        <w:pStyle w:val="Textkrper"/>
        <w:spacing w:before="120"/>
        <w:ind w:left="1159" w:right="111"/>
      </w:pPr>
      <w:r>
        <w:t xml:space="preserve">Zu beachten ist, dass alle Geschäftsprozesse, bei denen personenbezogene Daten verarbeitet werden, vollständig erfasst und </w:t>
      </w:r>
      <w:r>
        <w:t>gegebenenfalls aktualisiert werden.</w:t>
      </w:r>
    </w:p>
    <w:p w:rsidR="004424E3" w:rsidRDefault="00AF7B2B">
      <w:pPr>
        <w:pStyle w:val="Textkrper"/>
        <w:spacing w:before="115"/>
        <w:ind w:left="1159" w:right="549"/>
      </w:pPr>
      <w:r>
        <w:t>Der Detaillierungsgrad, in dem die Geschäftsprozesse gegliedert werden, ist gesetzlich nicht vorg</w:t>
      </w:r>
      <w:r>
        <w:t xml:space="preserve">egeben. Die im Muster </w:t>
      </w:r>
      <w:r>
        <w:t>gewählte Darstellung stellt einen Kompromiss zwischen Übersichtlichkeit und Detailgenauigkeit dar.</w:t>
      </w:r>
    </w:p>
    <w:p w:rsidR="004424E3" w:rsidRDefault="00AF7B2B">
      <w:pPr>
        <w:pStyle w:val="Textkrper"/>
        <w:spacing w:before="120"/>
        <w:ind w:left="1159"/>
      </w:pPr>
      <w:r>
        <w:t>Aus Transparenzgründen sollten alle Versionen des Verzeichnisses mit Datum und Unterschrift dokumentiert werden.</w:t>
      </w:r>
    </w:p>
    <w:p w:rsidR="004424E3" w:rsidRDefault="004424E3">
      <w:pPr>
        <w:sectPr w:rsidR="004424E3">
          <w:type w:val="continuous"/>
          <w:pgSz w:w="11930" w:h="16860"/>
          <w:pgMar w:top="0" w:right="440" w:bottom="0" w:left="120" w:header="720" w:footer="720" w:gutter="0"/>
          <w:cols w:space="720"/>
        </w:sectPr>
      </w:pPr>
    </w:p>
    <w:p w:rsidR="004424E3" w:rsidRDefault="004424E3">
      <w:pPr>
        <w:pStyle w:val="Textkrper"/>
      </w:pPr>
    </w:p>
    <w:p w:rsidR="004424E3" w:rsidRDefault="004424E3">
      <w:pPr>
        <w:pStyle w:val="Textkrper"/>
        <w:spacing w:before="5"/>
        <w:rPr>
          <w:sz w:val="18"/>
        </w:rPr>
      </w:pPr>
    </w:p>
    <w:p w:rsidR="004424E3" w:rsidRDefault="00AF7B2B">
      <w:pPr>
        <w:pStyle w:val="berschrift1"/>
      </w:pPr>
      <w:bookmarkStart w:id="3" w:name="Stammdaten"/>
      <w:bookmarkEnd w:id="3"/>
      <w:r>
        <w:t>Stam</w:t>
      </w:r>
      <w:r>
        <w:t>mdaten</w:t>
      </w:r>
    </w:p>
    <w:p w:rsidR="004424E3" w:rsidRDefault="004424E3">
      <w:pPr>
        <w:pStyle w:val="Textkrper"/>
        <w:spacing w:before="7"/>
        <w:rPr>
          <w:rFonts w:ascii="Trebuchet MS"/>
          <w:i w:val="0"/>
          <w:sz w:val="34"/>
        </w:rPr>
      </w:pPr>
    </w:p>
    <w:p w:rsidR="004424E3" w:rsidRDefault="00AF7B2B">
      <w:pPr>
        <w:pStyle w:val="berschrift2"/>
        <w:numPr>
          <w:ilvl w:val="0"/>
          <w:numId w:val="2"/>
        </w:numPr>
        <w:tabs>
          <w:tab w:val="left" w:pos="827"/>
          <w:tab w:val="left" w:pos="828"/>
        </w:tabs>
      </w:pPr>
      <w:bookmarkStart w:id="4" w:name="1._Verantwortlicher_Verarbeiter"/>
      <w:bookmarkEnd w:id="4"/>
      <w:r>
        <w:t>Verantwortlicher</w:t>
      </w:r>
      <w:r>
        <w:rPr>
          <w:spacing w:val="-38"/>
        </w:rPr>
        <w:t xml:space="preserve"> </w:t>
      </w:r>
      <w:r>
        <w:t>Verarbeiter</w:t>
      </w:r>
    </w:p>
    <w:p w:rsidR="004424E3" w:rsidRDefault="00AF7B2B">
      <w:pPr>
        <w:pStyle w:val="Textkrper"/>
        <w:spacing w:before="144"/>
        <w:ind w:left="827" w:right="264"/>
      </w:pPr>
      <w:r>
        <w:t xml:space="preserve">Jeder Einzelunternehmer und jede juristische Person muss ein gesondertes Verarbeitungsverzeichnis erstellen. Die </w:t>
      </w:r>
      <w:r>
        <w:t>Unternehmensbezeichnung muss der Firma entsprechen, um Verwechslungen zu verhindern.</w:t>
      </w:r>
    </w:p>
    <w:p w:rsidR="004424E3" w:rsidRDefault="00AF7B2B">
      <w:pPr>
        <w:pStyle w:val="Textkrper"/>
        <w:spacing w:before="120"/>
        <w:ind w:left="827" w:right="245"/>
      </w:pPr>
      <w:r>
        <w:t xml:space="preserve">Nach § 9 VStG haften alle Geschäftsführer für die Einhaltung der Verwaltungsgesetze, dh auch des DSG. Um zu </w:t>
      </w:r>
      <w:r>
        <w:t>vermeiden, das im Fall einer Rechtsverletzung alle Geschäftsführer bestraft werden, sollte die Geschäftseinteilung vorsehen, dass nur einer für Bela</w:t>
      </w:r>
      <w:r>
        <w:t>nge des Datenschutzes zuständig ist.</w:t>
      </w:r>
    </w:p>
    <w:p w:rsidR="004424E3" w:rsidRDefault="00AF7B2B">
      <w:pPr>
        <w:pStyle w:val="Textkrper"/>
        <w:spacing w:before="115"/>
        <w:ind w:left="827"/>
      </w:pPr>
      <w:r>
        <w:t>Die Haftung des Geschäftsführers besteht unabhängig von der Bestellung eines Datenschutzbeauftragten.</w:t>
      </w:r>
    </w:p>
    <w:p w:rsidR="004424E3" w:rsidRDefault="004424E3">
      <w:pPr>
        <w:pStyle w:val="Textkrper"/>
        <w:spacing w:before="5"/>
        <w:rPr>
          <w:sz w:val="27"/>
        </w:rPr>
      </w:pPr>
    </w:p>
    <w:p w:rsidR="004424E3" w:rsidRDefault="00AF7B2B">
      <w:pPr>
        <w:pStyle w:val="berschrift2"/>
        <w:numPr>
          <w:ilvl w:val="0"/>
          <w:numId w:val="2"/>
        </w:numPr>
        <w:tabs>
          <w:tab w:val="left" w:pos="827"/>
          <w:tab w:val="left" w:pos="828"/>
        </w:tabs>
      </w:pPr>
      <w:bookmarkStart w:id="5" w:name="2._Datenschutzkoordinator"/>
      <w:bookmarkEnd w:id="5"/>
      <w:r>
        <w:t>Datenschutzkoordinator</w:t>
      </w:r>
    </w:p>
    <w:p w:rsidR="004424E3" w:rsidRDefault="00AF7B2B">
      <w:pPr>
        <w:pStyle w:val="Textkrper"/>
        <w:spacing w:before="145"/>
        <w:ind w:left="827" w:right="1171"/>
      </w:pPr>
      <w:r>
        <w:t xml:space="preserve">Es ist zwischen einem Datenschutzbeauftragten nach Art 37 DSGVO und einem bloßen Koordinator für </w:t>
      </w:r>
      <w:r>
        <w:t>Datenschutzfragen des Unternehmens (auch „Datenschutzmanager“) zu unterscheiden.</w:t>
      </w:r>
    </w:p>
    <w:p w:rsidR="004424E3" w:rsidRDefault="00AF7B2B">
      <w:pPr>
        <w:pStyle w:val="Textkrper"/>
        <w:spacing w:before="116"/>
        <w:ind w:left="827" w:right="714"/>
      </w:pPr>
      <w:r>
        <w:t>Wenn weder ein Datenschutzbeauftragter noch ein Datenschutzkoordinator bestell</w:t>
      </w:r>
      <w:r>
        <w:t xml:space="preserve">t wird, ist der zuständige </w:t>
      </w:r>
      <w:r>
        <w:t>Geschäftsführer die alleinige Anlaufstelle für die Behörde und für Dritte in Datenschutzfragen.</w:t>
      </w:r>
    </w:p>
    <w:p w:rsidR="004424E3" w:rsidRDefault="004424E3">
      <w:pPr>
        <w:pStyle w:val="Textkrper"/>
        <w:spacing w:before="5"/>
        <w:rPr>
          <w:sz w:val="27"/>
        </w:rPr>
      </w:pPr>
    </w:p>
    <w:p w:rsidR="004424E3" w:rsidRDefault="00AF7B2B">
      <w:pPr>
        <w:pStyle w:val="berschrift2"/>
        <w:numPr>
          <w:ilvl w:val="0"/>
          <w:numId w:val="2"/>
        </w:numPr>
        <w:tabs>
          <w:tab w:val="left" w:pos="827"/>
          <w:tab w:val="left" w:pos="828"/>
        </w:tabs>
        <w:spacing w:before="1"/>
      </w:pPr>
      <w:bookmarkStart w:id="6" w:name="3._Datenschutzbeauftragter"/>
      <w:bookmarkEnd w:id="6"/>
      <w:r>
        <w:t>Datenschutzbeauftragter</w:t>
      </w:r>
    </w:p>
    <w:p w:rsidR="004424E3" w:rsidRDefault="00AF7B2B">
      <w:pPr>
        <w:pStyle w:val="Textkrper"/>
        <w:spacing w:before="145"/>
        <w:ind w:left="827" w:right="282"/>
      </w:pPr>
      <w:r>
        <w:t>Ob eine Verpflichtung zur Bestellung eines Datenschutzbeauftragten besteht, ergibt sich aus Art 37 DSGVO (si</w:t>
      </w:r>
      <w:r>
        <w:t xml:space="preserve">ehe </w:t>
      </w:r>
      <w:r>
        <w:t>Allgemeiner Teil).</w:t>
      </w:r>
    </w:p>
    <w:p w:rsidR="004424E3" w:rsidRDefault="004424E3">
      <w:pPr>
        <w:pStyle w:val="Textkrper"/>
        <w:spacing w:before="3"/>
        <w:rPr>
          <w:sz w:val="27"/>
        </w:rPr>
      </w:pPr>
    </w:p>
    <w:p w:rsidR="004424E3" w:rsidRDefault="00AF7B2B">
      <w:pPr>
        <w:pStyle w:val="berschrift2"/>
        <w:numPr>
          <w:ilvl w:val="0"/>
          <w:numId w:val="2"/>
        </w:numPr>
        <w:tabs>
          <w:tab w:val="left" w:pos="827"/>
          <w:tab w:val="left" w:pos="828"/>
        </w:tabs>
      </w:pPr>
      <w:bookmarkStart w:id="7" w:name="4._Datenschutz-Folgenabschätzung"/>
      <w:bookmarkEnd w:id="7"/>
      <w:r>
        <w:t>Datenschutz-Folgenabschätzung</w:t>
      </w:r>
    </w:p>
    <w:p w:rsidR="004424E3" w:rsidRDefault="00AF7B2B">
      <w:pPr>
        <w:pStyle w:val="Textkrper"/>
        <w:spacing w:before="142"/>
        <w:ind w:left="827" w:right="94"/>
      </w:pPr>
      <w:r>
        <w:t xml:space="preserve">Eine Datenschutz-Folgenabschätzung ist zwingend durchzuführen und schriftlich zu dokumentieren (Art 35 DSGVO), </w:t>
      </w:r>
      <w:r>
        <w:t>wenn:</w:t>
      </w:r>
    </w:p>
    <w:p w:rsidR="004424E3" w:rsidRDefault="00AF7B2B">
      <w:pPr>
        <w:pStyle w:val="Listenabsatz"/>
        <w:numPr>
          <w:ilvl w:val="1"/>
          <w:numId w:val="2"/>
        </w:numPr>
        <w:tabs>
          <w:tab w:val="left" w:pos="1187"/>
          <w:tab w:val="left" w:pos="1188"/>
        </w:tabs>
        <w:spacing w:before="120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neue Technologien mit hohem Risikopotenzial</w:t>
      </w:r>
      <w:r>
        <w:rPr>
          <w:rFonts w:ascii="Calibri"/>
          <w:i/>
          <w:spacing w:val="-21"/>
          <w:sz w:val="20"/>
        </w:rPr>
        <w:t xml:space="preserve"> </w:t>
      </w:r>
      <w:r>
        <w:rPr>
          <w:rFonts w:ascii="Calibri"/>
          <w:i/>
          <w:sz w:val="20"/>
        </w:rPr>
        <w:t>eingesetztwerden;</w:t>
      </w:r>
    </w:p>
    <w:p w:rsidR="004424E3" w:rsidRDefault="00AF7B2B">
      <w:pPr>
        <w:pStyle w:val="Listenabsatz"/>
        <w:numPr>
          <w:ilvl w:val="1"/>
          <w:numId w:val="2"/>
        </w:numPr>
        <w:tabs>
          <w:tab w:val="left" w:pos="1187"/>
          <w:tab w:val="left" w:pos="1188"/>
        </w:tabs>
        <w:spacing w:before="118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automatisiertes Profili</w:t>
      </w:r>
      <w:r>
        <w:rPr>
          <w:rFonts w:ascii="Calibri" w:hAnsi="Calibri"/>
          <w:i/>
          <w:sz w:val="20"/>
        </w:rPr>
        <w:t>ng als Grundlage</w:t>
      </w:r>
      <w:r>
        <w:rPr>
          <w:rFonts w:ascii="Calibri" w:hAnsi="Calibri"/>
          <w:i/>
          <w:spacing w:val="-24"/>
          <w:sz w:val="20"/>
        </w:rPr>
        <w:t xml:space="preserve"> </w:t>
      </w:r>
      <w:r>
        <w:rPr>
          <w:rFonts w:ascii="Calibri" w:hAnsi="Calibri"/>
          <w:i/>
          <w:sz w:val="20"/>
        </w:rPr>
        <w:t>fürEntscheidungsprozesse;</w:t>
      </w:r>
    </w:p>
    <w:p w:rsidR="004424E3" w:rsidRDefault="00AF7B2B">
      <w:pPr>
        <w:pStyle w:val="Listenabsatz"/>
        <w:numPr>
          <w:ilvl w:val="1"/>
          <w:numId w:val="2"/>
        </w:numPr>
        <w:tabs>
          <w:tab w:val="left" w:pos="1187"/>
          <w:tab w:val="left" w:pos="1188"/>
        </w:tabs>
        <w:spacing w:before="120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umfangreiche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Verarbeitung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sensibler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Daten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(Art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9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Abs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1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DSGVO)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stattfindet;</w:t>
      </w:r>
    </w:p>
    <w:p w:rsidR="004424E3" w:rsidRDefault="00AF7B2B">
      <w:pPr>
        <w:pStyle w:val="Listenabsatz"/>
        <w:numPr>
          <w:ilvl w:val="1"/>
          <w:numId w:val="2"/>
        </w:numPr>
        <w:tabs>
          <w:tab w:val="left" w:pos="1187"/>
          <w:tab w:val="left" w:pos="1188"/>
        </w:tabs>
        <w:spacing w:before="117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systematische</w:t>
      </w:r>
      <w:r>
        <w:rPr>
          <w:rFonts w:ascii="Calibri" w:hAnsi="Calibri"/>
          <w:i/>
          <w:spacing w:val="-14"/>
          <w:sz w:val="20"/>
        </w:rPr>
        <w:t xml:space="preserve"> </w:t>
      </w:r>
      <w:r>
        <w:rPr>
          <w:rFonts w:ascii="Calibri" w:hAnsi="Calibri"/>
          <w:i/>
          <w:sz w:val="20"/>
        </w:rPr>
        <w:t>umfangreiche</w:t>
      </w:r>
      <w:r>
        <w:rPr>
          <w:rFonts w:ascii="Calibri" w:hAnsi="Calibri"/>
          <w:i/>
          <w:spacing w:val="-13"/>
          <w:sz w:val="20"/>
        </w:rPr>
        <w:t xml:space="preserve"> </w:t>
      </w:r>
      <w:r>
        <w:rPr>
          <w:rFonts w:ascii="Calibri" w:hAnsi="Calibri"/>
          <w:i/>
          <w:sz w:val="20"/>
        </w:rPr>
        <w:t>Überwachung</w:t>
      </w:r>
      <w:r>
        <w:rPr>
          <w:rFonts w:ascii="Calibri" w:hAnsi="Calibri"/>
          <w:i/>
          <w:spacing w:val="-14"/>
          <w:sz w:val="20"/>
        </w:rPr>
        <w:t xml:space="preserve"> </w:t>
      </w:r>
      <w:r>
        <w:rPr>
          <w:rFonts w:ascii="Calibri" w:hAnsi="Calibri"/>
          <w:i/>
          <w:sz w:val="20"/>
        </w:rPr>
        <w:t>öffentlich</w:t>
      </w:r>
      <w:r>
        <w:rPr>
          <w:rFonts w:ascii="Calibri" w:hAnsi="Calibri"/>
          <w:i/>
          <w:spacing w:val="-14"/>
          <w:sz w:val="20"/>
        </w:rPr>
        <w:t xml:space="preserve"> </w:t>
      </w:r>
      <w:r>
        <w:rPr>
          <w:rFonts w:ascii="Calibri" w:hAnsi="Calibri"/>
          <w:i/>
          <w:sz w:val="20"/>
        </w:rPr>
        <w:t>zugänglicher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Bereiche</w:t>
      </w:r>
      <w:r>
        <w:rPr>
          <w:rFonts w:ascii="Calibri" w:hAnsi="Calibri"/>
          <w:i/>
          <w:spacing w:val="-14"/>
          <w:sz w:val="20"/>
        </w:rPr>
        <w:t xml:space="preserve"> </w:t>
      </w:r>
      <w:r>
        <w:rPr>
          <w:rFonts w:ascii="Calibri" w:hAnsi="Calibri"/>
          <w:i/>
          <w:sz w:val="20"/>
        </w:rPr>
        <w:t>(Videoüberwachung)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erfolgt.</w:t>
      </w:r>
    </w:p>
    <w:p w:rsidR="004424E3" w:rsidRDefault="00AF7B2B">
      <w:pPr>
        <w:pStyle w:val="Textkrper"/>
        <w:spacing w:before="120"/>
        <w:ind w:left="827" w:right="440"/>
      </w:pPr>
      <w:r>
        <w:t xml:space="preserve">Typische Unternehmen, in denen eine umfangreiche Verarbeitung sensibler Daten erfolgt, sind zB Kranken- und </w:t>
      </w:r>
      <w:r>
        <w:t>Kuranstalten.</w:t>
      </w:r>
    </w:p>
    <w:p w:rsidR="004424E3" w:rsidRDefault="00AF7B2B">
      <w:pPr>
        <w:pStyle w:val="Textkrper"/>
        <w:spacing w:before="116" w:line="242" w:lineRule="auto"/>
        <w:ind w:left="827" w:right="346"/>
      </w:pPr>
      <w:r>
        <w:t xml:space="preserve">Als neue Technologie mit hohem Risikopotenzial kann zB der Einsatz von computergestützten Trainingssystemen </w:t>
      </w:r>
      <w:r>
        <w:t xml:space="preserve">gelten, wenn individuelle </w:t>
      </w:r>
      <w:r>
        <w:t>Leistungsdaten gespeichert werden.</w:t>
      </w:r>
    </w:p>
    <w:p w:rsidR="004424E3" w:rsidRDefault="00AF7B2B">
      <w:pPr>
        <w:pStyle w:val="Textkrper"/>
        <w:spacing w:before="116"/>
        <w:ind w:left="827" w:right="186"/>
      </w:pPr>
      <w:r>
        <w:t xml:space="preserve">Profiling wird häufig im Internet eingesetzt, um die Effizienz von Marketing-Maßnahmen zu erhöhen. Wenn dabei </w:t>
      </w:r>
      <w:r>
        <w:t xml:space="preserve">auch indirekt personenbezogene Daten (wie zB IP-Adressen) protokolliert werden (Nutzungsprofile von Webseiten, </w:t>
      </w:r>
      <w:r>
        <w:t>Userverhalten etc), ist eine Folgenabschätzung erforderlich.</w:t>
      </w:r>
    </w:p>
    <w:p w:rsidR="004424E3" w:rsidRDefault="004424E3">
      <w:pPr>
        <w:sectPr w:rsidR="004424E3">
          <w:headerReference w:type="default" r:id="rId8"/>
          <w:footerReference w:type="default" r:id="rId9"/>
          <w:pgSz w:w="11930" w:h="16860"/>
          <w:pgMar w:top="1380" w:right="500" w:bottom="780" w:left="1160" w:header="350" w:footer="597" w:gutter="0"/>
          <w:pgNumType w:start="2"/>
          <w:cols w:space="720"/>
        </w:sectPr>
      </w:pPr>
    </w:p>
    <w:p w:rsidR="004424E3" w:rsidRDefault="004424E3">
      <w:pPr>
        <w:pStyle w:val="Textkrper"/>
      </w:pPr>
    </w:p>
    <w:p w:rsidR="004424E3" w:rsidRDefault="004424E3">
      <w:pPr>
        <w:pStyle w:val="Textkrper"/>
        <w:spacing w:before="10"/>
        <w:rPr>
          <w:sz w:val="15"/>
        </w:rPr>
      </w:pPr>
    </w:p>
    <w:p w:rsidR="004424E3" w:rsidRDefault="00AF7B2B">
      <w:pPr>
        <w:pStyle w:val="berschrift1"/>
      </w:pPr>
      <w:bookmarkStart w:id="8" w:name="Verarbeitungsprozess"/>
      <w:bookmarkEnd w:id="8"/>
      <w:r>
        <w:t>Verarbeitungsprozess</w:t>
      </w:r>
    </w:p>
    <w:p w:rsidR="004424E3" w:rsidRDefault="004424E3">
      <w:pPr>
        <w:pStyle w:val="Textkrper"/>
        <w:spacing w:before="7"/>
        <w:rPr>
          <w:rFonts w:ascii="Trebuchet MS"/>
          <w:i w:val="0"/>
          <w:sz w:val="34"/>
        </w:rPr>
      </w:pPr>
    </w:p>
    <w:p w:rsidR="004424E3" w:rsidRDefault="00AF7B2B">
      <w:pPr>
        <w:pStyle w:val="berschrift2"/>
        <w:numPr>
          <w:ilvl w:val="0"/>
          <w:numId w:val="1"/>
        </w:numPr>
        <w:tabs>
          <w:tab w:val="left" w:pos="827"/>
          <w:tab w:val="left" w:pos="828"/>
        </w:tabs>
      </w:pPr>
      <w:bookmarkStart w:id="9" w:name="1._Verfahren"/>
      <w:bookmarkEnd w:id="9"/>
      <w:r>
        <w:t>Verfahren</w:t>
      </w:r>
    </w:p>
    <w:p w:rsidR="004424E3" w:rsidRDefault="00AF7B2B">
      <w:pPr>
        <w:pStyle w:val="berschrift4"/>
        <w:spacing w:before="140"/>
      </w:pPr>
      <w:bookmarkStart w:id="10" w:name="Bezeichnung:"/>
      <w:bookmarkEnd w:id="10"/>
      <w:r>
        <w:t>Bezeichnung:</w:t>
      </w:r>
    </w:p>
    <w:p w:rsidR="004424E3" w:rsidRDefault="00AF7B2B">
      <w:pPr>
        <w:pStyle w:val="Textkrper"/>
        <w:spacing w:before="122"/>
        <w:ind w:left="827"/>
      </w:pPr>
      <w:bookmarkStart w:id="11" w:name="Fachabteilung:"/>
      <w:bookmarkEnd w:id="11"/>
      <w:r>
        <w:t>Der Verarbeitungsprozess soll eine Kurzbezeichnung erhalten.</w:t>
      </w:r>
    </w:p>
    <w:p w:rsidR="004424E3" w:rsidRDefault="00AF7B2B">
      <w:pPr>
        <w:pStyle w:val="berschrift4"/>
        <w:spacing w:before="115"/>
      </w:pPr>
      <w:r>
        <w:t>Fachabteilung:</w:t>
      </w:r>
    </w:p>
    <w:p w:rsidR="004424E3" w:rsidRDefault="00AF7B2B">
      <w:pPr>
        <w:pStyle w:val="Textkrper"/>
        <w:spacing w:before="124"/>
        <w:ind w:left="827" w:right="211"/>
      </w:pPr>
      <w:r>
        <w:t xml:space="preserve">Die Fachabteilung, die für den Prozess hauptverantwortlich ist, ist zu nennen. In Ausnahmefällen können auch zwei </w:t>
      </w:r>
      <w:r>
        <w:t>oder mehr Abteilungen verantwortlich sein.</w:t>
      </w:r>
    </w:p>
    <w:p w:rsidR="004424E3" w:rsidRDefault="00AF7B2B">
      <w:pPr>
        <w:pStyle w:val="Textkrper"/>
        <w:spacing w:before="115"/>
        <w:ind w:left="827"/>
      </w:pPr>
      <w:r>
        <w:t>Der Name des/der Abteil</w:t>
      </w:r>
      <w:r>
        <w:t>ungsleiterIn ist für eine rasche Kontaktaufnahme anzuführen.</w:t>
      </w:r>
    </w:p>
    <w:p w:rsidR="004424E3" w:rsidRDefault="004424E3">
      <w:pPr>
        <w:pStyle w:val="Textkrper"/>
        <w:spacing w:before="5"/>
        <w:rPr>
          <w:sz w:val="27"/>
        </w:rPr>
      </w:pPr>
    </w:p>
    <w:p w:rsidR="004424E3" w:rsidRDefault="00AF7B2B">
      <w:pPr>
        <w:pStyle w:val="berschrift2"/>
        <w:numPr>
          <w:ilvl w:val="0"/>
          <w:numId w:val="1"/>
        </w:numPr>
        <w:tabs>
          <w:tab w:val="left" w:pos="827"/>
          <w:tab w:val="left" w:pos="828"/>
        </w:tabs>
      </w:pPr>
      <w:bookmarkStart w:id="12" w:name="2._Zweckbestimmung"/>
      <w:bookmarkEnd w:id="12"/>
      <w:r>
        <w:t>Zweckbestimmung</w:t>
      </w:r>
    </w:p>
    <w:p w:rsidR="004424E3" w:rsidRDefault="00AF7B2B">
      <w:pPr>
        <w:pStyle w:val="Textkrper"/>
        <w:spacing w:before="145"/>
        <w:ind w:left="827"/>
      </w:pPr>
      <w:r>
        <w:t>Die Zweckbestimmung des Verarbeitungsprozesses ist möglichst vollständig und präzise anzugeben.</w:t>
      </w:r>
    </w:p>
    <w:p w:rsidR="004424E3" w:rsidRDefault="004424E3">
      <w:pPr>
        <w:pStyle w:val="Textkrper"/>
        <w:spacing w:before="3"/>
        <w:rPr>
          <w:sz w:val="27"/>
        </w:rPr>
      </w:pPr>
    </w:p>
    <w:p w:rsidR="004424E3" w:rsidRDefault="00AF7B2B">
      <w:pPr>
        <w:pStyle w:val="berschrift2"/>
        <w:numPr>
          <w:ilvl w:val="0"/>
          <w:numId w:val="1"/>
        </w:numPr>
        <w:tabs>
          <w:tab w:val="left" w:pos="827"/>
          <w:tab w:val="left" w:pos="828"/>
        </w:tabs>
      </w:pPr>
      <w:bookmarkStart w:id="13" w:name="3._Details_zur_Datenverarbeitung"/>
      <w:bookmarkEnd w:id="13"/>
      <w:r>
        <w:t>Details zur</w:t>
      </w:r>
      <w:r>
        <w:rPr>
          <w:spacing w:val="-29"/>
        </w:rPr>
        <w:t xml:space="preserve"> </w:t>
      </w:r>
      <w:r>
        <w:t>Datenverarbeitung</w:t>
      </w:r>
    </w:p>
    <w:p w:rsidR="004424E3" w:rsidRDefault="00AF7B2B">
      <w:pPr>
        <w:pStyle w:val="berschrift3"/>
        <w:numPr>
          <w:ilvl w:val="1"/>
          <w:numId w:val="1"/>
        </w:numPr>
        <w:tabs>
          <w:tab w:val="left" w:pos="827"/>
          <w:tab w:val="left" w:pos="828"/>
        </w:tabs>
        <w:spacing w:before="239"/>
      </w:pPr>
      <w:bookmarkStart w:id="14" w:name="3.1._Betroffene_Personen"/>
      <w:bookmarkEnd w:id="14"/>
      <w:r>
        <w:t>Betroffene</w:t>
      </w:r>
      <w:r>
        <w:rPr>
          <w:spacing w:val="-9"/>
        </w:rPr>
        <w:t xml:space="preserve"> </w:t>
      </w:r>
      <w:r>
        <w:t>Personen</w:t>
      </w:r>
    </w:p>
    <w:p w:rsidR="004424E3" w:rsidRDefault="00AF7B2B">
      <w:pPr>
        <w:pStyle w:val="Textkrper"/>
        <w:spacing w:before="144"/>
        <w:ind w:left="827" w:right="111"/>
      </w:pPr>
      <w:r>
        <w:t xml:space="preserve">Die betroffenen Personen sind in typische Kategorien zu gliedern. Das dient einer genaueren Zuordnung der </w:t>
      </w:r>
      <w:r>
        <w:t>Datenkategorien (siehe unten). Betroffene Personen, die besonders schutzwürdig sind, wie Kinder, Kranke, Personen mit besonderen Bedürfnissen, sind he</w:t>
      </w:r>
      <w:r>
        <w:t>rvorzuheben, damit die technisch-organisatorischen Maßnahmen darauf Rücksicht nehmen können.</w:t>
      </w:r>
    </w:p>
    <w:p w:rsidR="004424E3" w:rsidRDefault="00AF7B2B">
      <w:pPr>
        <w:pStyle w:val="Textkrper"/>
        <w:spacing w:before="117"/>
        <w:ind w:left="827" w:right="612"/>
      </w:pPr>
      <w:r>
        <w:t xml:space="preserve">In Österreich ist klargestellt, dass sich der Anwendungsbereich des Datenschutzgesetzes und der Datenschutz- </w:t>
      </w:r>
      <w:r>
        <w:t>Grundverordnung nur auf natürliche Personen bezieht.</w:t>
      </w:r>
    </w:p>
    <w:p w:rsidR="004424E3" w:rsidRDefault="004424E3">
      <w:pPr>
        <w:pStyle w:val="Textkrper"/>
        <w:spacing w:before="4"/>
        <w:rPr>
          <w:sz w:val="17"/>
        </w:rPr>
      </w:pPr>
    </w:p>
    <w:p w:rsidR="004424E3" w:rsidRDefault="00AF7B2B">
      <w:pPr>
        <w:pStyle w:val="berschrift3"/>
        <w:numPr>
          <w:ilvl w:val="1"/>
          <w:numId w:val="1"/>
        </w:numPr>
        <w:tabs>
          <w:tab w:val="left" w:pos="827"/>
          <w:tab w:val="left" w:pos="828"/>
        </w:tabs>
      </w:pPr>
      <w:bookmarkStart w:id="15" w:name="3.2._Datenverwendung_&amp;_Weitergabe"/>
      <w:bookmarkEnd w:id="15"/>
      <w:r>
        <w:t>Datenverwendung &amp;</w:t>
      </w:r>
      <w:r>
        <w:rPr>
          <w:spacing w:val="-16"/>
        </w:rPr>
        <w:t xml:space="preserve"> </w:t>
      </w:r>
      <w:r>
        <w:t>Weitergabe</w:t>
      </w:r>
    </w:p>
    <w:p w:rsidR="004424E3" w:rsidRDefault="00AF7B2B">
      <w:pPr>
        <w:pStyle w:val="Textkrper"/>
        <w:spacing w:before="144"/>
        <w:ind w:left="827" w:right="117"/>
      </w:pPr>
      <w:r>
        <w:t xml:space="preserve">Weitergabe bedeutet die Übermittlung oder Bereitstellung von Daten über eine betroffene Person an jemanden, der </w:t>
      </w:r>
      <w:r>
        <w:t xml:space="preserve">vom Verantwortlichen und vom Betroffenen verschieden ist. Der Adressat einer Nachricht (Brief, E-Mail etc) ist </w:t>
      </w:r>
      <w:bookmarkStart w:id="16" w:name="Verwendung_intern"/>
      <w:bookmarkEnd w:id="16"/>
      <w:r>
        <w:t>dahe</w:t>
      </w:r>
      <w:r>
        <w:t>r</w:t>
      </w:r>
      <w:r>
        <w:rPr>
          <w:spacing w:val="-6"/>
        </w:rPr>
        <w:t xml:space="preserve"> </w:t>
      </w:r>
      <w:r>
        <w:t>Betroffener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Empfänger</w:t>
      </w:r>
      <w:r>
        <w:rPr>
          <w:spacing w:val="-6"/>
        </w:rPr>
        <w:t xml:space="preserve"> </w:t>
      </w:r>
      <w:r>
        <w:t>einer</w:t>
      </w:r>
      <w:r>
        <w:rPr>
          <w:spacing w:val="-6"/>
        </w:rPr>
        <w:t xml:space="preserve"> </w:t>
      </w:r>
      <w:r>
        <w:t>Weitergabe.</w:t>
      </w:r>
    </w:p>
    <w:p w:rsidR="004424E3" w:rsidRDefault="00AF7B2B">
      <w:pPr>
        <w:pStyle w:val="berschrift4"/>
      </w:pPr>
      <w:r>
        <w:t>Verwendung intern</w:t>
      </w:r>
    </w:p>
    <w:p w:rsidR="004424E3" w:rsidRDefault="00AF7B2B">
      <w:pPr>
        <w:pStyle w:val="Textkrper"/>
        <w:spacing w:before="122"/>
        <w:ind w:left="827" w:right="346"/>
      </w:pPr>
      <w:r>
        <w:t xml:space="preserve">Die Weitergabe von Daten an andere Abteilungen des Unternehmens ist zu dokumentieren. Die Abteilung, die für </w:t>
      </w:r>
      <w:r>
        <w:t>den Prozess hauptverantwortlich ist, ist daher nicht mehr anzuführen.</w:t>
      </w:r>
    </w:p>
    <w:p w:rsidR="004424E3" w:rsidRDefault="00AF7B2B">
      <w:pPr>
        <w:pStyle w:val="Textkrper"/>
        <w:spacing w:before="120"/>
        <w:ind w:left="827" w:right="928"/>
      </w:pPr>
      <w:r>
        <w:t>Der Rec</w:t>
      </w:r>
      <w:r>
        <w:t xml:space="preserve">htsgrund muss Art 6 DSGVO entsprechen. Einwilligung darf nur angeführt werden, wenn diese den </w:t>
      </w:r>
      <w:r>
        <w:t>Vorgaben des Art 7 DSGVO entspricht (siehe Allgemeiner Teil). Der Rechtsgrund einer positiven Interessensabwägung darf nur angegeben werden, wenn transparent gema</w:t>
      </w:r>
      <w:r>
        <w:t>cht wird, welche Interessen gegeneinander abgewogen werden.</w:t>
      </w:r>
    </w:p>
    <w:p w:rsidR="004424E3" w:rsidRDefault="00AF7B2B">
      <w:pPr>
        <w:pStyle w:val="berschrift4"/>
        <w:spacing w:before="115"/>
      </w:pPr>
      <w:bookmarkStart w:id="17" w:name="Weitergabe_extern"/>
      <w:bookmarkEnd w:id="17"/>
      <w:r>
        <w:t>Weitergabe extern</w:t>
      </w:r>
    </w:p>
    <w:p w:rsidR="004424E3" w:rsidRDefault="00AF7B2B">
      <w:pPr>
        <w:pStyle w:val="Textkrper"/>
        <w:spacing w:before="122"/>
        <w:ind w:left="827"/>
      </w:pPr>
      <w:r>
        <w:t>Die Weitergabe an Dritte (außerhalb des Unternehmens) mit Sitz in der EU wird hier eingetragen.</w:t>
      </w:r>
    </w:p>
    <w:p w:rsidR="004424E3" w:rsidRDefault="00AF7B2B">
      <w:pPr>
        <w:pStyle w:val="berschrift4"/>
      </w:pPr>
      <w:bookmarkStart w:id="18" w:name="Weitergabe_Drittstaaten"/>
      <w:bookmarkEnd w:id="18"/>
      <w:r>
        <w:t>Weitergabe Drittstaaten</w:t>
      </w:r>
    </w:p>
    <w:p w:rsidR="004424E3" w:rsidRDefault="00AF7B2B">
      <w:pPr>
        <w:pStyle w:val="Textkrper"/>
        <w:spacing w:before="124"/>
        <w:ind w:left="827" w:right="127"/>
        <w:jc w:val="both"/>
      </w:pPr>
      <w:r>
        <w:t>Hier werden Übermittlungen an Dritte mit Sitz in Staaten a</w:t>
      </w:r>
      <w:r>
        <w:t xml:space="preserve">ußerhalb der EU angeführt, und zwar unabhängig davon, </w:t>
      </w:r>
      <w:r>
        <w:t>ob der Staat ein angemessenes Schutzniveau gewährleistet oder nicht. Das Schutzniveau im Drittland wirkt sich nur auf die Voraussetzungen für die Zulässigkeit der Übermittlung aus.</w:t>
      </w:r>
    </w:p>
    <w:p w:rsidR="004424E3" w:rsidRDefault="004424E3">
      <w:pPr>
        <w:pStyle w:val="Textkrper"/>
        <w:spacing w:before="2"/>
        <w:rPr>
          <w:sz w:val="17"/>
        </w:rPr>
      </w:pPr>
    </w:p>
    <w:p w:rsidR="004424E3" w:rsidRDefault="00AF7B2B">
      <w:pPr>
        <w:pStyle w:val="berschrift3"/>
        <w:numPr>
          <w:ilvl w:val="1"/>
          <w:numId w:val="1"/>
        </w:numPr>
        <w:tabs>
          <w:tab w:val="left" w:pos="827"/>
          <w:tab w:val="left" w:pos="828"/>
        </w:tabs>
      </w:pPr>
      <w:bookmarkStart w:id="19" w:name="3.3._Auftragsverarbeiter"/>
      <w:bookmarkEnd w:id="19"/>
      <w:r>
        <w:t>Auftragsverarbeiter</w:t>
      </w:r>
    </w:p>
    <w:p w:rsidR="004424E3" w:rsidRDefault="00AF7B2B">
      <w:pPr>
        <w:pStyle w:val="Textkrper"/>
        <w:spacing w:before="147"/>
        <w:ind w:left="827" w:right="382"/>
      </w:pPr>
      <w:r>
        <w:t xml:space="preserve">Es können ein oder mehrere Auftragsverarbeiter angeführt werden. Die Zuordnung zu bestimmten Applikationen </w:t>
      </w:r>
      <w:r>
        <w:t>erfolgt im Punkt 5.1.</w:t>
      </w:r>
    </w:p>
    <w:p w:rsidR="004424E3" w:rsidRDefault="004424E3">
      <w:pPr>
        <w:sectPr w:rsidR="004424E3">
          <w:pgSz w:w="11930" w:h="16860"/>
          <w:pgMar w:top="1380" w:right="440" w:bottom="780" w:left="1160" w:header="350" w:footer="597" w:gutter="0"/>
          <w:cols w:space="720"/>
        </w:sectPr>
      </w:pPr>
    </w:p>
    <w:p w:rsidR="004424E3" w:rsidRDefault="004424E3">
      <w:pPr>
        <w:pStyle w:val="Textkrper"/>
      </w:pPr>
    </w:p>
    <w:p w:rsidR="004424E3" w:rsidRDefault="004424E3">
      <w:pPr>
        <w:pStyle w:val="Textkrper"/>
        <w:spacing w:before="4"/>
        <w:rPr>
          <w:sz w:val="21"/>
        </w:rPr>
      </w:pPr>
    </w:p>
    <w:p w:rsidR="004424E3" w:rsidRDefault="00AF7B2B">
      <w:pPr>
        <w:pStyle w:val="berschrift2"/>
        <w:numPr>
          <w:ilvl w:val="0"/>
          <w:numId w:val="1"/>
        </w:numPr>
        <w:tabs>
          <w:tab w:val="left" w:pos="827"/>
          <w:tab w:val="left" w:pos="828"/>
        </w:tabs>
        <w:spacing w:before="100"/>
      </w:pPr>
      <w:bookmarkStart w:id="20" w:name="4._Datenkategorien"/>
      <w:bookmarkEnd w:id="20"/>
      <w:r>
        <w:t>Datenkategorien</w:t>
      </w:r>
    </w:p>
    <w:p w:rsidR="004424E3" w:rsidRDefault="00AF7B2B">
      <w:pPr>
        <w:pStyle w:val="berschrift3"/>
        <w:numPr>
          <w:ilvl w:val="1"/>
          <w:numId w:val="1"/>
        </w:numPr>
        <w:tabs>
          <w:tab w:val="left" w:pos="827"/>
          <w:tab w:val="left" w:pos="828"/>
        </w:tabs>
        <w:spacing w:before="238"/>
      </w:pPr>
      <w:bookmarkStart w:id="21" w:name="4.1._Gliederung"/>
      <w:bookmarkEnd w:id="21"/>
      <w:r>
        <w:t>Gliederung</w:t>
      </w:r>
    </w:p>
    <w:p w:rsidR="004424E3" w:rsidRDefault="00AF7B2B">
      <w:pPr>
        <w:pStyle w:val="Textkrper"/>
        <w:spacing w:before="141"/>
        <w:ind w:left="827" w:right="158"/>
      </w:pPr>
      <w:r>
        <w:t xml:space="preserve">Die Datenkategorien werden getrennt nach den Kategorien von Betroffenen dargestellt, um mögliche Unterschiede </w:t>
      </w:r>
      <w:r>
        <w:t>leichter zu erkennen.</w:t>
      </w:r>
    </w:p>
    <w:p w:rsidR="004424E3" w:rsidRDefault="00AF7B2B">
      <w:pPr>
        <w:pStyle w:val="Textkrper"/>
        <w:spacing w:before="120"/>
        <w:ind w:left="827" w:right="374"/>
      </w:pPr>
      <w:r>
        <w:t xml:space="preserve">Nicht jede technische Informationseinheit (Datenfeld) muss als Datenkategorie gesondert angeführt werden. Es </w:t>
      </w:r>
      <w:r>
        <w:t>sollen aber nur</w:t>
      </w:r>
      <w:r>
        <w:t xml:space="preserve"> solche Daten zu einer Kategorie zusammengefasst werden, die bezüglich Weitergabe und der Rechtsgrundlage der Verarbeitung gleich zu behandeln sind. Unter Kontaktdaten werden zB Telefonnummern, E- Mail-Adressen, Skype-Nummern etc zusammengefasst.</w:t>
      </w:r>
    </w:p>
    <w:p w:rsidR="004424E3" w:rsidRDefault="004424E3">
      <w:pPr>
        <w:pStyle w:val="Textkrper"/>
        <w:spacing w:before="4"/>
        <w:rPr>
          <w:sz w:val="17"/>
        </w:rPr>
      </w:pPr>
    </w:p>
    <w:p w:rsidR="004424E3" w:rsidRDefault="00AF7B2B">
      <w:pPr>
        <w:pStyle w:val="berschrift3"/>
        <w:numPr>
          <w:ilvl w:val="1"/>
          <w:numId w:val="1"/>
        </w:numPr>
        <w:tabs>
          <w:tab w:val="left" w:pos="827"/>
          <w:tab w:val="left" w:pos="828"/>
        </w:tabs>
        <w:spacing w:before="1"/>
      </w:pPr>
      <w:bookmarkStart w:id="22" w:name="4.2._Löschfristen"/>
      <w:bookmarkEnd w:id="22"/>
      <w:r>
        <w:t>Löschfri</w:t>
      </w:r>
      <w:r>
        <w:t>sten</w:t>
      </w:r>
    </w:p>
    <w:p w:rsidR="004424E3" w:rsidRDefault="00AF7B2B">
      <w:pPr>
        <w:pStyle w:val="Textkrper"/>
        <w:spacing w:before="144"/>
        <w:ind w:left="827" w:right="576"/>
      </w:pPr>
      <w:r>
        <w:t xml:space="preserve">Für die Löschfristen können keine allgemein gültigen Werte angegeben werden. Gesetzliche </w:t>
      </w:r>
      <w:r>
        <w:t>Aufbewahrungspflichten sind jedenfalls die Untergrenze für die Speicherdauer, ohne triftige Begründung einer längeren Speicherung aber auch die Obergrenze.</w:t>
      </w:r>
    </w:p>
    <w:p w:rsidR="004424E3" w:rsidRDefault="00AF7B2B">
      <w:pPr>
        <w:pStyle w:val="Textkrper"/>
        <w:spacing w:before="117"/>
        <w:ind w:left="827" w:right="194"/>
      </w:pPr>
      <w:r>
        <w:t>Die ge</w:t>
      </w:r>
      <w:r>
        <w:t xml:space="preserve">setzlichen Aufbewahrungsfristen sind im Muster als Löschfrist vorausgefüllt, eine Verlängerung ist aber – bei </w:t>
      </w:r>
      <w:r>
        <w:t>entsprechender Begründung denkbar. Weitere gesetzliche Verjährungs- und Präklusionsfristen und eine FAQ-Liste zum Löschen hat die WKO folgenden Do</w:t>
      </w:r>
      <w:r>
        <w:t>kumenten zusammengefasst:</w:t>
      </w:r>
    </w:p>
    <w:p w:rsidR="004424E3" w:rsidRDefault="00AF7B2B">
      <w:pPr>
        <w:pStyle w:val="berschrift4"/>
        <w:numPr>
          <w:ilvl w:val="2"/>
          <w:numId w:val="1"/>
        </w:numPr>
        <w:tabs>
          <w:tab w:val="left" w:pos="1547"/>
          <w:tab w:val="left" w:pos="1548"/>
        </w:tabs>
        <w:spacing w:before="116"/>
        <w:ind w:right="1229" w:hanging="360"/>
      </w:pPr>
      <w:hyperlink r:id="rId10">
        <w:bookmarkStart w:id="23" w:name="_https://www.wko.at/service/wirtschafts"/>
        <w:bookmarkEnd w:id="23"/>
        <w:r>
          <w:rPr>
            <w:color w:val="0000FF"/>
            <w:spacing w:val="-2"/>
            <w:u w:val="single" w:color="0000FF"/>
          </w:rPr>
          <w:t xml:space="preserve">https://www.wko.at/service/wirtschaftsrecht-gewerberecht/eu-dsgvo-speicher-und- </w:t>
        </w:r>
      </w:hyperlink>
      <w:hyperlink r:id="rId11">
        <w:r>
          <w:rPr>
            <w:color w:val="0000FF"/>
            <w:u w:val="single" w:color="0000FF"/>
          </w:rPr>
          <w:t>aufbewahrungsfristen.html</w:t>
        </w:r>
      </w:hyperlink>
    </w:p>
    <w:p w:rsidR="004424E3" w:rsidRDefault="00AF7B2B">
      <w:pPr>
        <w:pStyle w:val="Listenabsatz"/>
        <w:numPr>
          <w:ilvl w:val="2"/>
          <w:numId w:val="1"/>
        </w:numPr>
        <w:tabs>
          <w:tab w:val="left" w:pos="1547"/>
          <w:tab w:val="left" w:pos="1548"/>
        </w:tabs>
        <w:spacing w:before="116"/>
        <w:ind w:right="624" w:hanging="360"/>
        <w:rPr>
          <w:rFonts w:ascii="Calibri"/>
        </w:rPr>
      </w:pPr>
      <w:hyperlink r:id="rId12">
        <w:r>
          <w:rPr>
            <w:rFonts w:ascii="Calibri"/>
            <w:color w:val="0000FF"/>
            <w:spacing w:val="-2"/>
            <w:u w:val="single" w:color="0000FF"/>
          </w:rPr>
          <w:t xml:space="preserve">https://www.wko.at/service/unternehmensfuehrung-finanzierung-foerderungen/eu-dsgvo- </w:t>
        </w:r>
      </w:hyperlink>
      <w:hyperlink r:id="rId13">
        <w:r>
          <w:rPr>
            <w:rFonts w:ascii="Calibri"/>
            <w:color w:val="0000FF"/>
            <w:u w:val="single" w:color="0000FF"/>
          </w:rPr>
          <w:t>aufbewahrungsfristen-loeschung-faq.html</w:t>
        </w:r>
      </w:hyperlink>
    </w:p>
    <w:p w:rsidR="004424E3" w:rsidRDefault="00AF7B2B">
      <w:pPr>
        <w:pStyle w:val="Textkrper"/>
        <w:spacing w:before="122"/>
        <w:ind w:left="827" w:right="97"/>
      </w:pPr>
      <w:r>
        <w:t xml:space="preserve">Für alle Daten, die mit Vertragsbeziehungen im Zusammenhang stehen, kann die Verjährungsfrist für </w:t>
      </w:r>
      <w:r>
        <w:t>Schadenersatzansprüche von 3 Jahren (§ 1489 ABGB) als Untergrenze gelten. Im Hinblick auf das Risiko verborgener M</w:t>
      </w:r>
      <w:r>
        <w:t>ängel bzw einer späten Erkennbarkeit eines Schadens, wird eine Verlängerung um 1 bis 2 Jahre vertretbar sein.</w:t>
      </w:r>
    </w:p>
    <w:p w:rsidR="004424E3" w:rsidRDefault="00AF7B2B">
      <w:pPr>
        <w:pStyle w:val="Textkrper"/>
        <w:ind w:left="827" w:right="777"/>
      </w:pPr>
      <w:r>
        <w:t xml:space="preserve">Diese Frist beginnt mit dem Ende der Vertragserfüllung, dh z.B. mit Ende der gebuchten Reise oder Ende der </w:t>
      </w:r>
      <w:r>
        <w:t>Fitnesscenter-Mitgliedschaft, zu laufen.</w:t>
      </w:r>
    </w:p>
    <w:p w:rsidR="004424E3" w:rsidRDefault="00AF7B2B">
      <w:pPr>
        <w:pStyle w:val="Textkrper"/>
        <w:spacing w:before="120"/>
        <w:ind w:left="827"/>
      </w:pPr>
      <w:r>
        <w:t>Mit Einwilligung des Betroffenen können auch längere Löschfristen vorgesehen werden.</w:t>
      </w:r>
    </w:p>
    <w:p w:rsidR="004424E3" w:rsidRDefault="004424E3">
      <w:pPr>
        <w:pStyle w:val="Textkrper"/>
        <w:rPr>
          <w:sz w:val="27"/>
        </w:rPr>
      </w:pPr>
    </w:p>
    <w:p w:rsidR="004424E3" w:rsidRDefault="00AF7B2B">
      <w:pPr>
        <w:pStyle w:val="berschrift2"/>
        <w:numPr>
          <w:ilvl w:val="0"/>
          <w:numId w:val="1"/>
        </w:numPr>
        <w:tabs>
          <w:tab w:val="left" w:pos="827"/>
          <w:tab w:val="left" w:pos="828"/>
        </w:tabs>
      </w:pPr>
      <w:bookmarkStart w:id="24" w:name="5._Technisch-organisatorische_Maßnahmen_"/>
      <w:bookmarkEnd w:id="24"/>
      <w:r>
        <w:t>Technisch-organisatorische Maßnahmen</w:t>
      </w:r>
      <w:r>
        <w:rPr>
          <w:spacing w:val="-43"/>
        </w:rPr>
        <w:t xml:space="preserve"> </w:t>
      </w:r>
      <w:r>
        <w:t>(TOMs)</w:t>
      </w:r>
    </w:p>
    <w:p w:rsidR="004424E3" w:rsidRDefault="00AF7B2B">
      <w:pPr>
        <w:pStyle w:val="berschrift3"/>
        <w:numPr>
          <w:ilvl w:val="1"/>
          <w:numId w:val="1"/>
        </w:numPr>
        <w:tabs>
          <w:tab w:val="left" w:pos="827"/>
          <w:tab w:val="left" w:pos="828"/>
        </w:tabs>
        <w:spacing w:before="241"/>
      </w:pPr>
      <w:bookmarkStart w:id="25" w:name="5.1._Applikationen"/>
      <w:bookmarkEnd w:id="25"/>
      <w:r>
        <w:t>Applikationen</w:t>
      </w:r>
    </w:p>
    <w:p w:rsidR="004424E3" w:rsidRDefault="00AF7B2B">
      <w:pPr>
        <w:pStyle w:val="Textkrper"/>
        <w:spacing w:before="144"/>
        <w:ind w:left="827" w:right="242" w:hanging="1"/>
      </w:pPr>
      <w:r>
        <w:t>Hier werden die Software-Produkte genannt, mit denen die Verarbeitung e</w:t>
      </w:r>
      <w:r>
        <w:t xml:space="preserve">rfolgt. Wenn es sich nicht um Standard- </w:t>
      </w:r>
      <w:r>
        <w:t>Software handelt, ist die interne Bezeichnung anzugeben.</w:t>
      </w:r>
    </w:p>
    <w:p w:rsidR="004424E3" w:rsidRDefault="00AF7B2B">
      <w:pPr>
        <w:pStyle w:val="Textkrper"/>
        <w:spacing w:before="117"/>
        <w:ind w:left="827" w:right="293"/>
      </w:pPr>
      <w:r>
        <w:t xml:space="preserve">Wird die Software bei einem Dritten gehostet, oder hat sonst ein Dritter Dienstleistungsaufgaben in Bezug auf die </w:t>
      </w:r>
      <w:r>
        <w:t>Datenverarbeitung, zB im Wege von Wartungsver</w:t>
      </w:r>
      <w:r>
        <w:t>trägen, so ist hier der betreffende Auftragsverarbeiter anzuführen.</w:t>
      </w:r>
    </w:p>
    <w:p w:rsidR="004424E3" w:rsidRDefault="00AF7B2B">
      <w:pPr>
        <w:pStyle w:val="Textkrper"/>
        <w:spacing w:before="117"/>
        <w:ind w:left="827" w:right="369"/>
      </w:pPr>
      <w:r>
        <w:t xml:space="preserve">In der Regel besteht für jede Applikation eine eigene Richtlinie bezüglich der Verwaltung von Zugriffsrechten, des </w:t>
      </w:r>
      <w:r>
        <w:t>Backup-Regimes etc. Auf solche Richtlinien ist hier zu verweisen.</w:t>
      </w:r>
    </w:p>
    <w:p w:rsidR="004424E3" w:rsidRDefault="00AF7B2B">
      <w:pPr>
        <w:pStyle w:val="Textkrper"/>
        <w:spacing w:before="120"/>
        <w:ind w:left="827" w:right="238"/>
      </w:pPr>
      <w:r>
        <w:t>Wenn pe</w:t>
      </w:r>
      <w:r>
        <w:t xml:space="preserve">rsonenbezogene Daten für spezielle Aufgaben in Tabellen (Listen) zB in Excel gespeichert werden, handelt </w:t>
      </w:r>
      <w:r>
        <w:t>es sich um eine dokumentationspflichtige Applikation.</w:t>
      </w:r>
    </w:p>
    <w:p w:rsidR="004424E3" w:rsidRDefault="00AF7B2B">
      <w:pPr>
        <w:pStyle w:val="Textkrper"/>
        <w:spacing w:before="118"/>
        <w:ind w:left="827" w:right="96"/>
      </w:pPr>
      <w:r>
        <w:t>Auch die Speicherung von E-Mails und von Briefen, die mittels elektronischer Textverarbeitung ers</w:t>
      </w:r>
      <w:r>
        <w:t xml:space="preserve">tellt wurden, stellt </w:t>
      </w:r>
      <w:r>
        <w:t>eine Verarbeitung personenbezogener Daten dar. Wir schlagen vor, die gesamte Korrespondenz in einem eigenen Verarbeitungsprozess zu dokumentieren.</w:t>
      </w:r>
    </w:p>
    <w:p w:rsidR="004424E3" w:rsidRDefault="004424E3">
      <w:pPr>
        <w:pStyle w:val="Textkrper"/>
        <w:spacing w:before="5"/>
        <w:rPr>
          <w:sz w:val="17"/>
        </w:rPr>
      </w:pPr>
    </w:p>
    <w:p w:rsidR="004424E3" w:rsidRDefault="00AF7B2B">
      <w:pPr>
        <w:pStyle w:val="berschrift3"/>
        <w:numPr>
          <w:ilvl w:val="1"/>
          <w:numId w:val="1"/>
        </w:numPr>
        <w:tabs>
          <w:tab w:val="left" w:pos="827"/>
          <w:tab w:val="left" w:pos="828"/>
        </w:tabs>
      </w:pPr>
      <w:bookmarkStart w:id="26" w:name="5.2._Datenschutz_durch_Technologiegestal"/>
      <w:bookmarkEnd w:id="26"/>
      <w:r>
        <w:t>Datenschutz</w:t>
      </w:r>
      <w:r>
        <w:rPr>
          <w:spacing w:val="-7"/>
        </w:rPr>
        <w:t xml:space="preserve"> </w:t>
      </w:r>
      <w:r>
        <w:t>durch</w:t>
      </w:r>
      <w:r>
        <w:rPr>
          <w:spacing w:val="-4"/>
        </w:rPr>
        <w:t xml:space="preserve"> </w:t>
      </w:r>
      <w:r>
        <w:t>Technologiegestaltung</w:t>
      </w:r>
      <w:r>
        <w:rPr>
          <w:spacing w:val="-6"/>
        </w:rPr>
        <w:t xml:space="preserve"> </w:t>
      </w:r>
      <w:r>
        <w:t>(„privacy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design“)</w:t>
      </w:r>
      <w:r>
        <w:rPr>
          <w:spacing w:val="-5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t>gewährleistet</w:t>
      </w:r>
      <w:r>
        <w:rPr>
          <w:spacing w:val="-34"/>
        </w:rPr>
        <w:t xml:space="preserve"> </w:t>
      </w:r>
      <w:r>
        <w:t>durch:</w:t>
      </w:r>
    </w:p>
    <w:p w:rsidR="004424E3" w:rsidRDefault="00AF7B2B">
      <w:pPr>
        <w:pStyle w:val="Textkrper"/>
        <w:spacing w:before="144"/>
        <w:ind w:left="827" w:right="112"/>
      </w:pPr>
      <w:r>
        <w:t xml:space="preserve">„Privacy by design“ ist primär Aufgabe der Software-Entwickler. Fragen Sie Ihre Entwickler bzw Lizenzgeber, wie der </w:t>
      </w:r>
      <w:r>
        <w:t>Grundsatz der Datenminimierung umgesetzt wurde.</w:t>
      </w:r>
    </w:p>
    <w:p w:rsidR="004424E3" w:rsidRDefault="004424E3">
      <w:pPr>
        <w:sectPr w:rsidR="004424E3">
          <w:pgSz w:w="11930" w:h="16860"/>
          <w:pgMar w:top="1380" w:right="460" w:bottom="780" w:left="1160" w:header="350" w:footer="597" w:gutter="0"/>
          <w:cols w:space="720"/>
        </w:sectPr>
      </w:pPr>
    </w:p>
    <w:p w:rsidR="004424E3" w:rsidRDefault="004424E3">
      <w:pPr>
        <w:pStyle w:val="Textkrper"/>
        <w:spacing w:before="5"/>
        <w:rPr>
          <w:sz w:val="29"/>
        </w:rPr>
      </w:pPr>
    </w:p>
    <w:p w:rsidR="004424E3" w:rsidRDefault="00AF7B2B">
      <w:pPr>
        <w:pStyle w:val="berschrift3"/>
        <w:numPr>
          <w:ilvl w:val="1"/>
          <w:numId w:val="1"/>
        </w:numPr>
        <w:tabs>
          <w:tab w:val="left" w:pos="827"/>
          <w:tab w:val="left" w:pos="828"/>
        </w:tabs>
        <w:spacing w:before="101"/>
        <w:ind w:right="1008"/>
      </w:pPr>
      <w:bookmarkStart w:id="27" w:name="5.3._Datenschutz_durch_datenminimierende"/>
      <w:bookmarkEnd w:id="27"/>
      <w:r>
        <w:t>D</w:t>
      </w:r>
      <w:r>
        <w:t>atenschutz durch datenminimierende Voreinstellungen („privacy by default“) ist gewährleistet</w:t>
      </w:r>
      <w:r>
        <w:rPr>
          <w:spacing w:val="-9"/>
        </w:rPr>
        <w:t xml:space="preserve"> </w:t>
      </w:r>
      <w:r>
        <w:t>durch:</w:t>
      </w:r>
    </w:p>
    <w:p w:rsidR="004424E3" w:rsidRDefault="00AF7B2B">
      <w:pPr>
        <w:pStyle w:val="Textkrper"/>
        <w:spacing w:before="144"/>
        <w:ind w:left="827" w:right="291"/>
      </w:pPr>
      <w:r>
        <w:t xml:space="preserve">„Privacy by default“ betrifft vor allem Benutzerschnittstellen im Internet und überall, wo Mitarbeiter Daten von </w:t>
      </w:r>
      <w:r>
        <w:t>Kunden abfragen. Wir empfehlen eine systema</w:t>
      </w:r>
      <w:r>
        <w:t>tische Überprüfung dieser Geschäftsbereiche, um die Abfrage nicht unbedingt nötiger Daten zu vermeiden.</w:t>
      </w:r>
    </w:p>
    <w:p w:rsidR="004424E3" w:rsidRDefault="004424E3">
      <w:pPr>
        <w:pStyle w:val="Textkrper"/>
        <w:spacing w:before="2"/>
        <w:rPr>
          <w:sz w:val="17"/>
        </w:rPr>
      </w:pPr>
    </w:p>
    <w:p w:rsidR="004424E3" w:rsidRDefault="00AF7B2B">
      <w:pPr>
        <w:pStyle w:val="berschrift3"/>
        <w:numPr>
          <w:ilvl w:val="1"/>
          <w:numId w:val="1"/>
        </w:numPr>
        <w:tabs>
          <w:tab w:val="left" w:pos="827"/>
          <w:tab w:val="left" w:pos="828"/>
        </w:tabs>
      </w:pPr>
      <w:bookmarkStart w:id="28" w:name="5.4._Datensicherheit_(Vertraulichkeit,_V"/>
      <w:bookmarkEnd w:id="28"/>
      <w:r>
        <w:t>Datensicherheit</w:t>
      </w:r>
      <w:r>
        <w:rPr>
          <w:spacing w:val="-15"/>
        </w:rPr>
        <w:t xml:space="preserve"> </w:t>
      </w:r>
      <w:r>
        <w:t>(Vertraulichkeit,</w:t>
      </w:r>
      <w:r>
        <w:rPr>
          <w:spacing w:val="-13"/>
        </w:rPr>
        <w:t xml:space="preserve"> </w:t>
      </w:r>
      <w:r>
        <w:t>Verfügbarkeit,</w:t>
      </w:r>
      <w:r>
        <w:rPr>
          <w:spacing w:val="-32"/>
        </w:rPr>
        <w:t xml:space="preserve"> </w:t>
      </w:r>
      <w:r>
        <w:t>Integrität)</w:t>
      </w:r>
    </w:p>
    <w:p w:rsidR="004424E3" w:rsidRDefault="00AF7B2B">
      <w:pPr>
        <w:pStyle w:val="berschrift4"/>
        <w:spacing w:before="142"/>
      </w:pPr>
      <w:r>
        <w:t>Elektronische Verarbeitungen</w:t>
      </w:r>
    </w:p>
    <w:p w:rsidR="004424E3" w:rsidRDefault="00AF7B2B">
      <w:pPr>
        <w:pStyle w:val="Textkrper"/>
        <w:spacing w:before="125"/>
        <w:ind w:left="827" w:right="310"/>
      </w:pPr>
      <w:r>
        <w:t>Integrität und Vertraulichkeit sind wichtige Grundsätze jeder</w:t>
      </w:r>
      <w:r>
        <w:t xml:space="preserve"> Datenverarbeitung, nicht nur im Interesse des </w:t>
      </w:r>
      <w:r>
        <w:t>Verantwortlichen selbst, sondern auch im Interesse der Betroffenen. Die Gewährleistung eines angemessenen Schutzniveaus ist daher eine Rechtspflicht, deren Erfüllung dokumentiert werden soll (Art 5 Abs 1 lit f</w:t>
      </w:r>
      <w:r>
        <w:t xml:space="preserve"> DSGVO). Welche Schutzmaßnahmen im Einzelnen angewendet werden, kann in einem gesonderten Dokument beschrieben werden. Hier reicht ein Verweis auf dieses Dokument.</w:t>
      </w:r>
    </w:p>
    <w:p w:rsidR="004424E3" w:rsidRDefault="00AF7B2B">
      <w:pPr>
        <w:pStyle w:val="berschrift4"/>
      </w:pPr>
      <w:r>
        <w:t>Analoge Verarbeitungen</w:t>
      </w:r>
    </w:p>
    <w:p w:rsidR="004424E3" w:rsidRDefault="00AF7B2B">
      <w:pPr>
        <w:pStyle w:val="Textkrper"/>
        <w:spacing w:before="122"/>
        <w:ind w:left="827" w:right="112"/>
      </w:pPr>
      <w:r>
        <w:t>Die DSGVO ist auch für manuelle Datenverarbeitungen in Papierunterlag</w:t>
      </w:r>
      <w:r>
        <w:t xml:space="preserve">en relevant, das aber nur, wenn es sich um </w:t>
      </w:r>
      <w:r>
        <w:t>eine Sammlung („Dateisystem“) von personenbezogenen Daten, die nach „bestimmten Kriterien“ zugänglich sind, handelt. Geordnete Papierakten, Karteikästen mit differenzierten Ordnungskriterien und dergleichen sollte</w:t>
      </w:r>
      <w:r>
        <w:t>n jedenfalls im Verarbeitungsverzeichnis dokumentiert werden, insbesondere, wenn mehrstufige Suchmöglichkeiten bestehen. Es wird aber auch vertreten, dass Papierakten (Handakten), die lediglich nach Aktenzahl und/oder Namen des Betroffenen und/oder chronol</w:t>
      </w:r>
      <w:r>
        <w:t>ogisch nach dem Datum des Geschäftsfalles abgelegt werden, kein Dateisystem im Sinne der DSGVO</w:t>
      </w:r>
      <w:r>
        <w:rPr>
          <w:spacing w:val="-27"/>
        </w:rPr>
        <w:t xml:space="preserve"> </w:t>
      </w:r>
      <w:r>
        <w:t>darstellen.</w:t>
      </w:r>
    </w:p>
    <w:p w:rsidR="004424E3" w:rsidRDefault="004424E3">
      <w:pPr>
        <w:pStyle w:val="Textkrper"/>
        <w:spacing w:before="4"/>
        <w:rPr>
          <w:sz w:val="17"/>
        </w:rPr>
      </w:pPr>
    </w:p>
    <w:p w:rsidR="004424E3" w:rsidRDefault="00AF7B2B">
      <w:pPr>
        <w:pStyle w:val="berschrift3"/>
        <w:numPr>
          <w:ilvl w:val="1"/>
          <w:numId w:val="1"/>
        </w:numPr>
        <w:tabs>
          <w:tab w:val="left" w:pos="827"/>
          <w:tab w:val="left" w:pos="828"/>
        </w:tabs>
        <w:spacing w:before="1"/>
      </w:pPr>
      <w:bookmarkStart w:id="29" w:name="5.5._Methoden_zur_Datenlöschung"/>
      <w:bookmarkEnd w:id="29"/>
      <w:r>
        <w:t>Methoden zur</w:t>
      </w:r>
      <w:r>
        <w:rPr>
          <w:spacing w:val="-13"/>
        </w:rPr>
        <w:t xml:space="preserve"> </w:t>
      </w:r>
      <w:r>
        <w:t>Datenlöschung</w:t>
      </w:r>
    </w:p>
    <w:p w:rsidR="004424E3" w:rsidRDefault="00AF7B2B">
      <w:pPr>
        <w:pStyle w:val="berschrift4"/>
        <w:spacing w:before="142"/>
      </w:pPr>
      <w:bookmarkStart w:id="30" w:name="Elektronische_Verarbeitungen"/>
      <w:bookmarkEnd w:id="30"/>
      <w:r>
        <w:t>Elektronische Verarbeitungen</w:t>
      </w:r>
    </w:p>
    <w:p w:rsidR="004424E3" w:rsidRDefault="00AF7B2B">
      <w:pPr>
        <w:pStyle w:val="Textkrper"/>
        <w:spacing w:before="122"/>
        <w:ind w:left="827" w:right="188" w:hanging="1"/>
      </w:pPr>
      <w:r>
        <w:t>Es</w:t>
      </w:r>
      <w:r>
        <w:rPr>
          <w:spacing w:val="-9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unterscheiden,</w:t>
      </w:r>
      <w:r>
        <w:rPr>
          <w:spacing w:val="-8"/>
        </w:rPr>
        <w:t xml:space="preserve"> </w:t>
      </w:r>
      <w:r>
        <w:t>ob</w:t>
      </w:r>
      <w:r>
        <w:rPr>
          <w:spacing w:val="-8"/>
        </w:rPr>
        <w:t xml:space="preserve"> </w:t>
      </w:r>
      <w:r>
        <w:t>ein</w:t>
      </w:r>
      <w:r>
        <w:rPr>
          <w:spacing w:val="-13"/>
        </w:rPr>
        <w:t xml:space="preserve"> </w:t>
      </w:r>
      <w:r>
        <w:t>technischer</w:t>
      </w:r>
      <w:r>
        <w:rPr>
          <w:spacing w:val="-10"/>
        </w:rPr>
        <w:t xml:space="preserve"> </w:t>
      </w:r>
      <w:r>
        <w:t>Algorithmus</w:t>
      </w:r>
      <w:r>
        <w:rPr>
          <w:spacing w:val="-9"/>
        </w:rPr>
        <w:t xml:space="preserve"> </w:t>
      </w:r>
      <w:r>
        <w:t>existiert,</w:t>
      </w:r>
      <w:r>
        <w:rPr>
          <w:spacing w:val="-6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Daten</w:t>
      </w:r>
      <w:r>
        <w:rPr>
          <w:spacing w:val="-6"/>
        </w:rPr>
        <w:t xml:space="preserve"> </w:t>
      </w:r>
      <w:r>
        <w:t>automatisch</w:t>
      </w:r>
      <w:r>
        <w:rPr>
          <w:spacing w:val="-8"/>
        </w:rPr>
        <w:t xml:space="preserve"> </w:t>
      </w:r>
      <w:r>
        <w:t>nac</w:t>
      </w:r>
      <w:r>
        <w:t>h</w:t>
      </w:r>
      <w:r>
        <w:rPr>
          <w:spacing w:val="-6"/>
        </w:rPr>
        <w:t xml:space="preserve"> </w:t>
      </w:r>
      <w:r>
        <w:t>einer</w:t>
      </w:r>
      <w:r>
        <w:rPr>
          <w:spacing w:val="-10"/>
        </w:rPr>
        <w:t xml:space="preserve"> </w:t>
      </w:r>
      <w:r>
        <w:t>bestimmten</w:t>
      </w:r>
      <w:r>
        <w:rPr>
          <w:spacing w:val="-8"/>
        </w:rPr>
        <w:t xml:space="preserve"> </w:t>
      </w:r>
      <w:r>
        <w:t xml:space="preserve">Frist </w:t>
      </w:r>
      <w:r>
        <w:t>löscht, oder ob das Löschen aufgrund eines händischen Eingriffs erfolgt. Beide sind kurz zu beschreiben, alternativ ist auf das Löschungskonzept</w:t>
      </w:r>
      <w:r>
        <w:rPr>
          <w:spacing w:val="1"/>
        </w:rPr>
        <w:t xml:space="preserve"> </w:t>
      </w:r>
      <w:r>
        <w:t>zuverweisen.</w:t>
      </w:r>
    </w:p>
    <w:p w:rsidR="004424E3" w:rsidRDefault="00AF7B2B">
      <w:pPr>
        <w:pStyle w:val="berschrift4"/>
        <w:spacing w:before="116"/>
      </w:pPr>
      <w:bookmarkStart w:id="31" w:name="Analoge_Verarbeitungen"/>
      <w:bookmarkEnd w:id="31"/>
      <w:r>
        <w:t>Analoge Verarbeitungen</w:t>
      </w:r>
    </w:p>
    <w:p w:rsidR="004424E3" w:rsidRDefault="00AF7B2B">
      <w:pPr>
        <w:pStyle w:val="Textkrper"/>
        <w:spacing w:before="125"/>
        <w:ind w:left="827" w:right="188"/>
      </w:pPr>
      <w:r>
        <w:t xml:space="preserve">Unstrukturierte Papierakten fallen grundsätzlich nicht unter die DSGVO und müssen daher nicht vernichtet werden. </w:t>
      </w:r>
      <w:r>
        <w:t>Aufgrund von möglichen Abgrenzungsproblemen empfehlen wir dennoch eine maximale Aufbewahrungsdauer vorzusehen.</w:t>
      </w:r>
    </w:p>
    <w:p w:rsidR="004424E3" w:rsidRDefault="004424E3">
      <w:pPr>
        <w:pStyle w:val="Textkrper"/>
        <w:spacing w:before="5"/>
        <w:rPr>
          <w:sz w:val="27"/>
        </w:rPr>
      </w:pPr>
    </w:p>
    <w:p w:rsidR="004424E3" w:rsidRDefault="00AF7B2B">
      <w:pPr>
        <w:pStyle w:val="berschrift2"/>
        <w:numPr>
          <w:ilvl w:val="0"/>
          <w:numId w:val="1"/>
        </w:numPr>
        <w:tabs>
          <w:tab w:val="left" w:pos="827"/>
          <w:tab w:val="left" w:pos="828"/>
        </w:tabs>
      </w:pPr>
      <w:bookmarkStart w:id="32" w:name="6._Profiling"/>
      <w:bookmarkEnd w:id="32"/>
      <w:r>
        <w:t>Profiling</w:t>
      </w:r>
    </w:p>
    <w:p w:rsidR="004424E3" w:rsidRDefault="00AF7B2B">
      <w:pPr>
        <w:pStyle w:val="Textkrper"/>
        <w:spacing w:before="144"/>
        <w:ind w:left="827" w:right="443"/>
      </w:pPr>
      <w:r>
        <w:t>Wenn Methoden des Pro</w:t>
      </w:r>
      <w:r>
        <w:t xml:space="preserve">filing eingesetzt werden, sind diese genau zu beschreiben. Auf andere Dokumente kann </w:t>
      </w:r>
      <w:r>
        <w:t>verwiesen werden.</w:t>
      </w:r>
    </w:p>
    <w:p w:rsidR="004424E3" w:rsidRDefault="00AF7B2B">
      <w:pPr>
        <w:pStyle w:val="Textkrper"/>
        <w:spacing w:before="120"/>
        <w:ind w:left="827"/>
      </w:pPr>
      <w:r>
        <w:t>In diesem Fall ist verpflichtend eine Datenschutz-Folgenabschätzung durchzuführen.</w:t>
      </w:r>
    </w:p>
    <w:p w:rsidR="004424E3" w:rsidRDefault="004424E3">
      <w:pPr>
        <w:pStyle w:val="Textkrper"/>
        <w:spacing w:before="3"/>
        <w:rPr>
          <w:sz w:val="27"/>
        </w:rPr>
      </w:pPr>
    </w:p>
    <w:p w:rsidR="004424E3" w:rsidRDefault="00AF7B2B">
      <w:pPr>
        <w:pStyle w:val="berschrift2"/>
        <w:numPr>
          <w:ilvl w:val="0"/>
          <w:numId w:val="1"/>
        </w:numPr>
        <w:tabs>
          <w:tab w:val="left" w:pos="827"/>
          <w:tab w:val="left" w:pos="828"/>
        </w:tabs>
      </w:pPr>
      <w:bookmarkStart w:id="33" w:name="7._Entscheidungsautomatisierung"/>
      <w:bookmarkEnd w:id="33"/>
      <w:r>
        <w:t>Entscheidungsautomatisierung</w:t>
      </w:r>
    </w:p>
    <w:p w:rsidR="004424E3" w:rsidRDefault="00AF7B2B">
      <w:pPr>
        <w:pStyle w:val="Textkrper"/>
        <w:spacing w:before="145"/>
        <w:ind w:left="827" w:right="248"/>
      </w:pPr>
      <w:r>
        <w:t>Wenn Methoden der Entscheidungsautomatis</w:t>
      </w:r>
      <w:r>
        <w:t xml:space="preserve">ierung eingesetzt werden, die sich auf Betroffene auswirken können, </w:t>
      </w:r>
      <w:r>
        <w:t>sind diese genau zu beschreiben. Auf andere Dokumente kann verwiesen werden.</w:t>
      </w:r>
    </w:p>
    <w:p w:rsidR="004424E3" w:rsidRDefault="00AF7B2B">
      <w:pPr>
        <w:pStyle w:val="Textkrper"/>
        <w:spacing w:before="120"/>
        <w:ind w:left="827"/>
      </w:pPr>
      <w:r>
        <w:t>In diesem Fall ist verpflichtend eine Datenschutz-Folgenabschätzung durchzuführen.</w:t>
      </w:r>
    </w:p>
    <w:p w:rsidR="004424E3" w:rsidRDefault="004424E3">
      <w:pPr>
        <w:sectPr w:rsidR="004424E3">
          <w:pgSz w:w="11930" w:h="16860"/>
          <w:pgMar w:top="1380" w:right="440" w:bottom="780" w:left="1160" w:header="350" w:footer="597" w:gutter="0"/>
          <w:cols w:space="720"/>
        </w:sectPr>
      </w:pPr>
    </w:p>
    <w:p w:rsidR="004424E3" w:rsidRDefault="004424E3">
      <w:pPr>
        <w:pStyle w:val="Textkrper"/>
      </w:pPr>
    </w:p>
    <w:p w:rsidR="004424E3" w:rsidRDefault="004424E3">
      <w:pPr>
        <w:pStyle w:val="Textkrper"/>
        <w:spacing w:before="4"/>
        <w:rPr>
          <w:sz w:val="21"/>
        </w:rPr>
      </w:pPr>
    </w:p>
    <w:p w:rsidR="004424E3" w:rsidRDefault="00AF7B2B">
      <w:pPr>
        <w:pStyle w:val="berschrift2"/>
        <w:numPr>
          <w:ilvl w:val="0"/>
          <w:numId w:val="1"/>
        </w:numPr>
        <w:tabs>
          <w:tab w:val="left" w:pos="827"/>
          <w:tab w:val="left" w:pos="828"/>
        </w:tabs>
        <w:spacing w:before="100"/>
      </w:pPr>
      <w:bookmarkStart w:id="34" w:name="8._Betroffenenrechte"/>
      <w:bookmarkEnd w:id="34"/>
      <w:r>
        <w:t>Betroffe</w:t>
      </w:r>
      <w:r>
        <w:t>nenrechte</w:t>
      </w:r>
    </w:p>
    <w:p w:rsidR="004424E3" w:rsidRDefault="00AF7B2B">
      <w:pPr>
        <w:pStyle w:val="berschrift3"/>
        <w:numPr>
          <w:ilvl w:val="1"/>
          <w:numId w:val="1"/>
        </w:numPr>
        <w:tabs>
          <w:tab w:val="left" w:pos="827"/>
          <w:tab w:val="left" w:pos="828"/>
        </w:tabs>
        <w:spacing w:before="238"/>
      </w:pPr>
      <w:bookmarkStart w:id="35" w:name="8.1._Information_Betroffener"/>
      <w:bookmarkEnd w:id="35"/>
      <w:r>
        <w:t>Information</w:t>
      </w:r>
      <w:r>
        <w:rPr>
          <w:spacing w:val="-22"/>
        </w:rPr>
        <w:t xml:space="preserve"> </w:t>
      </w:r>
      <w:r>
        <w:t>Betroffener</w:t>
      </w:r>
    </w:p>
    <w:p w:rsidR="004424E3" w:rsidRDefault="00AF7B2B">
      <w:pPr>
        <w:pStyle w:val="Textkrper"/>
        <w:spacing w:before="141"/>
        <w:ind w:left="827" w:right="110"/>
        <w:jc w:val="both"/>
      </w:pPr>
      <w:r>
        <w:t xml:space="preserve">In der Regel ist es am effizientesten, die Daten des Betroffenen aus jeder einzelnen Applikation zu exportieren und in </w:t>
      </w:r>
      <w:r>
        <w:t>einer PDF-Datei zusammenzuführen.</w:t>
      </w:r>
    </w:p>
    <w:p w:rsidR="004424E3" w:rsidRDefault="004424E3">
      <w:pPr>
        <w:pStyle w:val="Textkrper"/>
        <w:spacing w:before="6"/>
        <w:rPr>
          <w:sz w:val="17"/>
        </w:rPr>
      </w:pPr>
    </w:p>
    <w:p w:rsidR="004424E3" w:rsidRDefault="00AF7B2B">
      <w:pPr>
        <w:pStyle w:val="berschrift3"/>
        <w:numPr>
          <w:ilvl w:val="1"/>
          <w:numId w:val="1"/>
        </w:numPr>
        <w:tabs>
          <w:tab w:val="left" w:pos="827"/>
          <w:tab w:val="left" w:pos="828"/>
        </w:tabs>
        <w:spacing w:before="1"/>
      </w:pPr>
      <w:bookmarkStart w:id="36" w:name="8.2._Art_der_Information_des_Betroffenen"/>
      <w:bookmarkEnd w:id="36"/>
      <w:r>
        <w:t>Art der Information des</w:t>
      </w:r>
      <w:r>
        <w:rPr>
          <w:spacing w:val="-19"/>
        </w:rPr>
        <w:t xml:space="preserve"> </w:t>
      </w:r>
      <w:r>
        <w:t>Betroffenen?</w:t>
      </w:r>
    </w:p>
    <w:p w:rsidR="004424E3" w:rsidRDefault="00AF7B2B">
      <w:pPr>
        <w:pStyle w:val="Textkrper"/>
        <w:spacing w:before="145"/>
        <w:ind w:left="827" w:right="108"/>
        <w:jc w:val="both"/>
      </w:pPr>
      <w:r>
        <w:t xml:space="preserve">Wenn der Betroffene sein Auskunftsersuchen mittels E-Mail stellt, ist die einfachste Methode der Auskunftserteilung </w:t>
      </w:r>
      <w:r>
        <w:t>die Übermittlung einer PDF-Datei per E-Mail. Ansonsten wäre eine Übermittlung n Papierform per eingeschriebener Postsendung notwendig.</w:t>
      </w:r>
    </w:p>
    <w:sectPr w:rsidR="004424E3">
      <w:pgSz w:w="11930" w:h="16860"/>
      <w:pgMar w:top="1380" w:right="440" w:bottom="780" w:left="1160" w:header="350" w:footer="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2B" w:rsidRDefault="00AF7B2B">
      <w:r>
        <w:separator/>
      </w:r>
    </w:p>
  </w:endnote>
  <w:endnote w:type="continuationSeparator" w:id="0">
    <w:p w:rsidR="00AF7B2B" w:rsidRDefault="00AF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E3" w:rsidRDefault="000A1488">
    <w:pPr>
      <w:pStyle w:val="Textkrper"/>
      <w:spacing w:line="14" w:lineRule="auto"/>
      <w:rPr>
        <w:i w:val="0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503309552" behindDoc="1" locked="0" layoutInCell="1" allowOverlap="1">
              <wp:simplePos x="0" y="0"/>
              <wp:positionH relativeFrom="page">
                <wp:posOffset>5985510</wp:posOffset>
              </wp:positionH>
              <wp:positionV relativeFrom="page">
                <wp:posOffset>10180955</wp:posOffset>
              </wp:positionV>
              <wp:extent cx="687070" cy="152400"/>
              <wp:effectExtent l="3810" t="0" r="444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4E3" w:rsidRDefault="00AF7B2B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1488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von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801.65pt;width:54.1pt;height:12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zYqw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" filled="f" stroked="f">
              <v:textbox inset="0,0,0,0">
                <w:txbxContent>
                  <w:p w:rsidR="004424E3" w:rsidRDefault="00AF7B2B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1488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von </w:t>
                    </w:r>
                    <w:r>
                      <w:rPr>
                        <w:b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2B" w:rsidRDefault="00AF7B2B">
      <w:r>
        <w:separator/>
      </w:r>
    </w:p>
  </w:footnote>
  <w:footnote w:type="continuationSeparator" w:id="0">
    <w:p w:rsidR="00AF7B2B" w:rsidRDefault="00AF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E3" w:rsidRDefault="00AF7B2B">
    <w:pPr>
      <w:pStyle w:val="Textkrper"/>
      <w:spacing w:line="14" w:lineRule="auto"/>
      <w:rPr>
        <w:i w:val="0"/>
      </w:rPr>
    </w:pPr>
    <w:r>
      <w:rPr>
        <w:noProof/>
        <w:lang w:val="de-AT" w:eastAsia="de-AT"/>
      </w:rPr>
      <w:drawing>
        <wp:anchor distT="0" distB="0" distL="0" distR="0" simplePos="0" relativeHeight="268428479" behindDoc="1" locked="0" layoutInCell="1" allowOverlap="1">
          <wp:simplePos x="0" y="0"/>
          <wp:positionH relativeFrom="page">
            <wp:posOffset>5975350</wp:posOffset>
          </wp:positionH>
          <wp:positionV relativeFrom="page">
            <wp:posOffset>222250</wp:posOffset>
          </wp:positionV>
          <wp:extent cx="1166494" cy="48181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6494" cy="481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488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503309528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876300</wp:posOffset>
              </wp:positionV>
              <wp:extent cx="5795645" cy="0"/>
              <wp:effectExtent l="6350" t="9525" r="8255" b="952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CCEC42" id="Line 2" o:spid="_x0000_s1026" style="position:absolute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5pt,69pt" to="525.8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ZG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" strokeweight=".16969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67"/>
    <w:multiLevelType w:val="multilevel"/>
    <w:tmpl w:val="A2865DC6"/>
    <w:lvl w:ilvl="0">
      <w:start w:val="1"/>
      <w:numFmt w:val="decimal"/>
      <w:lvlText w:val="%1."/>
      <w:lvlJc w:val="left"/>
      <w:pPr>
        <w:ind w:left="827" w:hanging="708"/>
        <w:jc w:val="left"/>
      </w:pPr>
      <w:rPr>
        <w:rFonts w:ascii="Trebuchet MS" w:eastAsia="Trebuchet MS" w:hAnsi="Trebuchet MS" w:cs="Trebuchet MS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27" w:hanging="708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</w:rPr>
    </w:lvl>
    <w:lvl w:ilvl="2">
      <w:numFmt w:val="bullet"/>
      <w:lvlText w:val=""/>
      <w:lvlJc w:val="left"/>
      <w:pPr>
        <w:ind w:left="1547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486" w:hanging="361"/>
      </w:pPr>
      <w:rPr>
        <w:rFonts w:hint="default"/>
      </w:rPr>
    </w:lvl>
    <w:lvl w:ilvl="4">
      <w:numFmt w:val="bullet"/>
      <w:lvlText w:val="•"/>
      <w:lvlJc w:val="left"/>
      <w:pPr>
        <w:ind w:left="4460" w:hanging="361"/>
      </w:pPr>
      <w:rPr>
        <w:rFonts w:hint="default"/>
      </w:rPr>
    </w:lvl>
    <w:lvl w:ilvl="5">
      <w:numFmt w:val="bullet"/>
      <w:lvlText w:val="•"/>
      <w:lvlJc w:val="left"/>
      <w:pPr>
        <w:ind w:left="5433" w:hanging="361"/>
      </w:pPr>
      <w:rPr>
        <w:rFonts w:hint="default"/>
      </w:rPr>
    </w:lvl>
    <w:lvl w:ilvl="6">
      <w:numFmt w:val="bullet"/>
      <w:lvlText w:val="•"/>
      <w:lvlJc w:val="left"/>
      <w:pPr>
        <w:ind w:left="6407" w:hanging="361"/>
      </w:pPr>
      <w:rPr>
        <w:rFonts w:hint="default"/>
      </w:rPr>
    </w:lvl>
    <w:lvl w:ilvl="7">
      <w:numFmt w:val="bullet"/>
      <w:lvlText w:val="•"/>
      <w:lvlJc w:val="left"/>
      <w:pPr>
        <w:ind w:left="7380" w:hanging="361"/>
      </w:pPr>
      <w:rPr>
        <w:rFonts w:hint="default"/>
      </w:rPr>
    </w:lvl>
    <w:lvl w:ilvl="8">
      <w:numFmt w:val="bullet"/>
      <w:lvlText w:val="•"/>
      <w:lvlJc w:val="left"/>
      <w:pPr>
        <w:ind w:left="8353" w:hanging="361"/>
      </w:pPr>
      <w:rPr>
        <w:rFonts w:hint="default"/>
      </w:rPr>
    </w:lvl>
  </w:abstractNum>
  <w:abstractNum w:abstractNumId="1" w15:restartNumberingAfterBreak="0">
    <w:nsid w:val="606E2E9E"/>
    <w:multiLevelType w:val="hybridMultilevel"/>
    <w:tmpl w:val="1D70C33A"/>
    <w:lvl w:ilvl="0" w:tplc="280E190E">
      <w:start w:val="1"/>
      <w:numFmt w:val="decimal"/>
      <w:lvlText w:val="%1."/>
      <w:lvlJc w:val="left"/>
      <w:pPr>
        <w:ind w:left="827" w:hanging="708"/>
        <w:jc w:val="left"/>
      </w:pPr>
      <w:rPr>
        <w:rFonts w:ascii="Trebuchet MS" w:eastAsia="Trebuchet MS" w:hAnsi="Trebuchet MS" w:cs="Trebuchet MS" w:hint="default"/>
        <w:b/>
        <w:bCs/>
        <w:spacing w:val="-2"/>
        <w:w w:val="99"/>
        <w:sz w:val="24"/>
        <w:szCs w:val="24"/>
      </w:rPr>
    </w:lvl>
    <w:lvl w:ilvl="1" w:tplc="7E643E00">
      <w:numFmt w:val="bullet"/>
      <w:lvlText w:val="-"/>
      <w:lvlJc w:val="left"/>
      <w:pPr>
        <w:ind w:left="1187" w:hanging="360"/>
      </w:pPr>
      <w:rPr>
        <w:rFonts w:ascii="Calibri" w:eastAsia="Calibri" w:hAnsi="Calibri" w:cs="Calibri" w:hint="default"/>
        <w:w w:val="98"/>
        <w:sz w:val="20"/>
        <w:szCs w:val="20"/>
      </w:rPr>
    </w:lvl>
    <w:lvl w:ilvl="2" w:tplc="DD6E6486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002AA4C6"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C564248A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10E0AF64">
      <w:numFmt w:val="bullet"/>
      <w:lvlText w:val="•"/>
      <w:lvlJc w:val="left"/>
      <w:pPr>
        <w:ind w:left="5215" w:hanging="360"/>
      </w:pPr>
      <w:rPr>
        <w:rFonts w:hint="default"/>
      </w:rPr>
    </w:lvl>
    <w:lvl w:ilvl="6" w:tplc="01B494F4">
      <w:numFmt w:val="bullet"/>
      <w:lvlText w:val="•"/>
      <w:lvlJc w:val="left"/>
      <w:pPr>
        <w:ind w:left="6224" w:hanging="360"/>
      </w:pPr>
      <w:rPr>
        <w:rFonts w:hint="default"/>
      </w:rPr>
    </w:lvl>
    <w:lvl w:ilvl="7" w:tplc="BA329FD2">
      <w:numFmt w:val="bullet"/>
      <w:lvlText w:val="•"/>
      <w:lvlJc w:val="left"/>
      <w:pPr>
        <w:ind w:left="7233" w:hanging="360"/>
      </w:pPr>
      <w:rPr>
        <w:rFonts w:hint="default"/>
      </w:rPr>
    </w:lvl>
    <w:lvl w:ilvl="8" w:tplc="BA12E58A">
      <w:numFmt w:val="bullet"/>
      <w:lvlText w:val="•"/>
      <w:lvlJc w:val="left"/>
      <w:pPr>
        <w:ind w:left="824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E3"/>
    <w:rsid w:val="000A1488"/>
    <w:rsid w:val="004424E3"/>
    <w:rsid w:val="00A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54B339-1497-42AE-B340-B302734D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spacing w:before="100"/>
      <w:ind w:left="119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berschrift2">
    <w:name w:val="heading 2"/>
    <w:basedOn w:val="Standard"/>
    <w:uiPriority w:val="1"/>
    <w:qFormat/>
    <w:pPr>
      <w:ind w:left="827" w:hanging="708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erschrift3">
    <w:name w:val="heading 3"/>
    <w:basedOn w:val="Standard"/>
    <w:uiPriority w:val="1"/>
    <w:qFormat/>
    <w:pPr>
      <w:ind w:left="827" w:hanging="708"/>
      <w:outlineLvl w:val="2"/>
    </w:pPr>
    <w:rPr>
      <w:rFonts w:ascii="Trebuchet MS" w:eastAsia="Trebuchet MS" w:hAnsi="Trebuchet MS" w:cs="Trebuchet MS"/>
      <w:b/>
      <w:bCs/>
    </w:rPr>
  </w:style>
  <w:style w:type="paragraph" w:styleId="berschrift4">
    <w:name w:val="heading 4"/>
    <w:basedOn w:val="Standard"/>
    <w:uiPriority w:val="1"/>
    <w:qFormat/>
    <w:pPr>
      <w:spacing w:before="113"/>
      <w:ind w:left="827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827" w:hanging="708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wko.at/service/unternehmensfuehrung-finanzierung-foerderungen/eu-dsgvo-aufbewahrungsfristen-loeschung-faq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wko.at/service/unternehmensfuehrung-finanzierung-foerderungen/eu-dsgvo-aufbewahrungsfristen-loeschung-faq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ko.at/service/wirtschaftsrecht-gewerberecht/eu-dsgvo-speicher-und-aufbewahrungsfristen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ko.at/service/wirtschaftsrecht-gewerberecht/eu-dsgvo-speicher-und-aufbewahrungsfristen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1709</Words>
  <Characters>10772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Verfahrensverzeichnis Muster Hotels</vt:lpstr>
    </vt:vector>
  </TitlesOfParts>
  <Company>WKO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Verfahrensverzeichnis Muster Hotels</dc:title>
  <dc:creator>Andreas Manak</dc:creator>
  <cp:lastModifiedBy>Schwetz Florian, Mag., Inhouse Media</cp:lastModifiedBy>
  <cp:revision>2</cp:revision>
  <dcterms:created xsi:type="dcterms:W3CDTF">2018-06-12T15:56:00Z</dcterms:created>
  <dcterms:modified xsi:type="dcterms:W3CDTF">2018-06-12T15:56:00Z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2018-06-12T00:00:00Z</vt:filetime>
  </property>
</Properties>
</file>